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FF48A" w14:textId="77777777" w:rsidR="00DD72BE" w:rsidRDefault="00AC707D" w:rsidP="00DD72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Faculty </w:t>
      </w:r>
      <w:r w:rsidR="004B0424">
        <w:rPr>
          <w:rFonts w:ascii="Arial" w:hAnsi="Arial" w:cs="Arial"/>
          <w:b/>
          <w:sz w:val="20"/>
          <w:szCs w:val="20"/>
        </w:rPr>
        <w:t>Tenure Upon Appointment Process</w:t>
      </w:r>
    </w:p>
    <w:p w14:paraId="5E54FE6A" w14:textId="77777777" w:rsidR="001B70D5" w:rsidRDefault="00DD72BE" w:rsidP="00DD72BE">
      <w:pPr>
        <w:rPr>
          <w:rFonts w:ascii="Arial" w:hAnsi="Arial" w:cs="Arial"/>
        </w:rPr>
      </w:pPr>
      <w:r>
        <w:rPr>
          <w:rFonts w:ascii="Arial" w:hAnsi="Arial" w:cs="Arial"/>
        </w:rPr>
        <w:t>The Dean, Director/Chair, and HR Generalist</w:t>
      </w:r>
      <w:r w:rsidR="000E76D4">
        <w:rPr>
          <w:rFonts w:ascii="Arial" w:hAnsi="Arial" w:cs="Arial"/>
        </w:rPr>
        <w:t xml:space="preserve"> (HRG)</w:t>
      </w:r>
      <w:r>
        <w:rPr>
          <w:rFonts w:ascii="Arial" w:hAnsi="Arial" w:cs="Arial"/>
        </w:rPr>
        <w:t xml:space="preserve"> or Office Manager</w:t>
      </w:r>
      <w:r w:rsidR="000E76D4">
        <w:rPr>
          <w:rFonts w:ascii="Arial" w:hAnsi="Arial" w:cs="Arial"/>
        </w:rPr>
        <w:t xml:space="preserve"> (OM)</w:t>
      </w:r>
      <w:r>
        <w:rPr>
          <w:rFonts w:ascii="Arial" w:hAnsi="Arial" w:cs="Arial"/>
        </w:rPr>
        <w:t xml:space="preserve"> work together during this process.  </w:t>
      </w:r>
    </w:p>
    <w:p w14:paraId="7DB10FC1" w14:textId="77777777" w:rsidR="00DD72BE" w:rsidRPr="00087A0E" w:rsidRDefault="00DD72BE" w:rsidP="00DD72BE">
      <w:pPr>
        <w:rPr>
          <w:rFonts w:ascii="Arial" w:hAnsi="Arial" w:cs="Arial"/>
          <w:b/>
          <w:sz w:val="20"/>
          <w:szCs w:val="20"/>
        </w:rPr>
      </w:pPr>
      <w:r w:rsidRPr="001B70D5">
        <w:rPr>
          <w:rFonts w:ascii="Arial" w:hAnsi="Arial" w:cs="Arial"/>
          <w:highlight w:val="yellow"/>
        </w:rPr>
        <w:t>The HR Generalist handles Dean’s Office hires, for example FIBER or Director</w:t>
      </w:r>
      <w:r w:rsidR="00BF5057" w:rsidRPr="001B70D5">
        <w:rPr>
          <w:rFonts w:ascii="Arial" w:hAnsi="Arial" w:cs="Arial"/>
          <w:highlight w:val="yellow"/>
        </w:rPr>
        <w:t>/Chair</w:t>
      </w:r>
      <w:r w:rsidRPr="001B70D5">
        <w:rPr>
          <w:rFonts w:ascii="Arial" w:hAnsi="Arial" w:cs="Arial"/>
          <w:highlight w:val="yellow"/>
        </w:rPr>
        <w:t xml:space="preserve"> candidates.</w:t>
      </w:r>
    </w:p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6210"/>
        <w:gridCol w:w="2520"/>
        <w:gridCol w:w="2340"/>
      </w:tblGrid>
      <w:tr w:rsidR="00B07C2A" w:rsidRPr="00D46350" w14:paraId="5626094C" w14:textId="77777777" w:rsidTr="00673D9A">
        <w:trPr>
          <w:trHeight w:val="377"/>
        </w:trPr>
        <w:tc>
          <w:tcPr>
            <w:tcW w:w="6210" w:type="dxa"/>
          </w:tcPr>
          <w:p w14:paraId="0CB66ADC" w14:textId="67D5683E" w:rsidR="00B07C2A" w:rsidRDefault="00B07C2A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Candidate’s Name</w:t>
            </w:r>
            <w:r w:rsidRPr="00692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  <w:bookmarkStart w:id="0" w:name="_GoBack"/>
            <w:bookmarkEnd w:id="0"/>
          </w:p>
          <w:p w14:paraId="4D2E2442" w14:textId="77777777" w:rsidR="00B07C2A" w:rsidRPr="00692206" w:rsidRDefault="00B07C2A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7E31C380" w14:textId="77777777" w:rsidR="00B07C2A" w:rsidRPr="00D46350" w:rsidRDefault="00B07C2A" w:rsidP="00654D8E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</w:tr>
      <w:tr w:rsidR="00841AE8" w:rsidRPr="00D46350" w14:paraId="739F14A3" w14:textId="77777777" w:rsidTr="00654D8E">
        <w:trPr>
          <w:trHeight w:val="329"/>
        </w:trPr>
        <w:tc>
          <w:tcPr>
            <w:tcW w:w="6210" w:type="dxa"/>
          </w:tcPr>
          <w:p w14:paraId="0C3F95EF" w14:textId="77777777" w:rsidR="00841AE8" w:rsidRPr="00692206" w:rsidRDefault="00B07C2A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Title</w:t>
            </w:r>
            <w:r w:rsidR="00841AE8" w:rsidRPr="00692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2520" w:type="dxa"/>
          </w:tcPr>
          <w:p w14:paraId="7E67A5D2" w14:textId="77777777" w:rsidR="00841AE8" w:rsidRPr="00692206" w:rsidRDefault="00B07C2A" w:rsidP="00B07C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5848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Start Date:</w:t>
            </w:r>
            <w:r w:rsidR="00841AE8" w:rsidRPr="00692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69516BBD" w14:textId="77777777" w:rsidR="00841AE8" w:rsidRPr="00692206" w:rsidRDefault="00841AE8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692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Phone #:</w:t>
            </w:r>
          </w:p>
        </w:tc>
      </w:tr>
      <w:tr w:rsidR="00B07C2A" w:rsidRPr="00D46350" w14:paraId="05C77D18" w14:textId="77777777" w:rsidTr="00A31E70">
        <w:trPr>
          <w:trHeight w:val="346"/>
        </w:trPr>
        <w:tc>
          <w:tcPr>
            <w:tcW w:w="6210" w:type="dxa"/>
          </w:tcPr>
          <w:p w14:paraId="38E7AF65" w14:textId="77777777" w:rsidR="00B07C2A" w:rsidRDefault="00B07C2A" w:rsidP="00B07C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Email: </w:t>
            </w:r>
          </w:p>
          <w:p w14:paraId="2B408B09" w14:textId="77777777" w:rsidR="00B07C2A" w:rsidRPr="00692206" w:rsidRDefault="00B07C2A" w:rsidP="00B07C2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gridSpan w:val="2"/>
          </w:tcPr>
          <w:p w14:paraId="6622ADD6" w14:textId="77777777" w:rsidR="00B07C2A" w:rsidRPr="00692206" w:rsidRDefault="00B07C2A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B07C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Tenure Date at Current Institution</w:t>
            </w:r>
            <w:r w:rsidRPr="006922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:</w:t>
            </w:r>
          </w:p>
          <w:p w14:paraId="5B73D537" w14:textId="77777777" w:rsidR="00B07C2A" w:rsidRPr="00692206" w:rsidRDefault="00B07C2A" w:rsidP="00654D8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16BA97" w14:textId="77777777" w:rsidR="00841AE8" w:rsidRDefault="00841AE8" w:rsidP="004C3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0010786" w14:textId="77777777" w:rsidR="00841AE8" w:rsidRDefault="00841AE8" w:rsidP="004C3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28A8342" w14:textId="77777777" w:rsidR="004B0424" w:rsidRDefault="004B0424" w:rsidP="004C340D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4B0424">
        <w:rPr>
          <w:rFonts w:ascii="Arial" w:eastAsia="Times New Roman" w:hAnsi="Arial" w:cs="Arial"/>
          <w:b/>
          <w:color w:val="000000"/>
          <w:sz w:val="20"/>
          <w:szCs w:val="20"/>
        </w:rPr>
        <w:t>Links: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14:paraId="46DA6440" w14:textId="77777777" w:rsidR="004B0424" w:rsidRPr="00DE174F" w:rsidRDefault="004B0424" w:rsidP="004C340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B0424">
        <w:rPr>
          <w:rFonts w:ascii="Arial" w:eastAsia="Times New Roman" w:hAnsi="Arial" w:cs="Arial"/>
          <w:b/>
          <w:color w:val="000000"/>
          <w:sz w:val="20"/>
          <w:szCs w:val="20"/>
        </w:rPr>
        <w:t>TENURE AND PROMOTION INFORMATION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hyperlink r:id="rId7" w:history="1">
        <w:r w:rsidRPr="00DE174F">
          <w:rPr>
            <w:rStyle w:val="Hyperlink"/>
            <w:rFonts w:ascii="Arial" w:eastAsia="Times New Roman" w:hAnsi="Arial" w:cs="Arial"/>
          </w:rPr>
          <w:t>http://aa.ufl.edu/policies/tenure-and-promotion-information/</w:t>
        </w:r>
      </w:hyperlink>
    </w:p>
    <w:p w14:paraId="4344CD08" w14:textId="77777777" w:rsidR="00882F7D" w:rsidRPr="00882F7D" w:rsidRDefault="005D1616" w:rsidP="00DE174F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 w:themeColor="hyperlink"/>
          <w:u w:val="single"/>
        </w:rPr>
      </w:pPr>
      <w:hyperlink r:id="rId8" w:history="1">
        <w:r w:rsidR="00882F7D" w:rsidRPr="00882F7D">
          <w:rPr>
            <w:rStyle w:val="Hyperlink"/>
            <w:rFonts w:ascii="Arial" w:hAnsi="Arial" w:cs="Arial"/>
            <w:lang w:val="en"/>
          </w:rPr>
          <w:t>Promotion and Tenure Guidelines 2019-2020</w:t>
        </w:r>
      </w:hyperlink>
      <w:r w:rsidR="00882F7D" w:rsidRPr="00882F7D">
        <w:rPr>
          <w:rFonts w:ascii="Arial" w:hAnsi="Arial" w:cs="Arial"/>
          <w:color w:val="333132"/>
          <w:lang w:val="en"/>
        </w:rPr>
        <w:t> (PDF)</w:t>
      </w:r>
    </w:p>
    <w:p w14:paraId="417A8752" w14:textId="77777777" w:rsidR="00B642D6" w:rsidRPr="00B642D6" w:rsidRDefault="005D1616" w:rsidP="00B642D6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 w:themeColor="hyperlink"/>
          <w:u w:val="single"/>
        </w:rPr>
      </w:pPr>
      <w:hyperlink r:id="rId9" w:history="1">
        <w:r w:rsidR="00882F7D" w:rsidRPr="00882F7D">
          <w:rPr>
            <w:rStyle w:val="Hyperlink"/>
            <w:rFonts w:ascii="Arial" w:hAnsi="Arial" w:cs="Arial"/>
            <w:lang w:val="en"/>
          </w:rPr>
          <w:t>Highlighted changes for 2019-2020</w:t>
        </w:r>
      </w:hyperlink>
      <w:r w:rsidR="00882F7D" w:rsidRPr="00882F7D">
        <w:rPr>
          <w:rFonts w:ascii="Arial" w:hAnsi="Arial" w:cs="Arial"/>
          <w:color w:val="333132"/>
          <w:lang w:val="en"/>
        </w:rPr>
        <w:t> (PDF)</w:t>
      </w:r>
    </w:p>
    <w:p w14:paraId="14A61F58" w14:textId="77777777" w:rsidR="00762130" w:rsidRPr="00762130" w:rsidRDefault="00B642D6" w:rsidP="00762130">
      <w:pPr>
        <w:pStyle w:val="ListParagraph"/>
        <w:numPr>
          <w:ilvl w:val="0"/>
          <w:numId w:val="11"/>
        </w:numPr>
        <w:rPr>
          <w:rFonts w:ascii="Arial" w:eastAsia="Times New Roman" w:hAnsi="Arial" w:cs="Arial"/>
          <w:color w:val="0563C1" w:themeColor="hyperlink"/>
          <w:u w:val="single"/>
        </w:rPr>
      </w:pPr>
      <w:r w:rsidRPr="00B642D6">
        <w:rPr>
          <w:rFonts w:ascii="Arial" w:hAnsi="Arial" w:cs="Arial"/>
          <w:color w:val="333132"/>
          <w:lang w:val="en"/>
        </w:rPr>
        <w:t>Recommendation for Tenure Upon Hire Form</w:t>
      </w:r>
      <w:r>
        <w:rPr>
          <w:rFonts w:ascii="Arial" w:hAnsi="Arial" w:cs="Arial"/>
          <w:color w:val="333132"/>
          <w:lang w:val="en"/>
        </w:rPr>
        <w:t xml:space="preserve"> (See </w:t>
      </w:r>
    </w:p>
    <w:p w14:paraId="440D428B" w14:textId="77777777" w:rsidR="00762130" w:rsidRDefault="00762130" w:rsidP="004C340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107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8"/>
        <w:gridCol w:w="1662"/>
        <w:gridCol w:w="1345"/>
      </w:tblGrid>
      <w:tr w:rsidR="005C7E21" w:rsidRPr="00F26062" w14:paraId="0B3E4D32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4BBEA497" w14:textId="77777777" w:rsidR="00B563B9" w:rsidRDefault="00B563B9" w:rsidP="00B563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60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TASK</w:t>
            </w:r>
          </w:p>
          <w:p w14:paraId="6BBD0361" w14:textId="77777777" w:rsidR="00B563B9" w:rsidRPr="00F26062" w:rsidRDefault="00B563B9" w:rsidP="00AC707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4D3787DD" w14:textId="77777777" w:rsidR="00B563B9" w:rsidRDefault="00B563B9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F2606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Who</w:t>
            </w:r>
          </w:p>
          <w:p w14:paraId="66640B37" w14:textId="77777777" w:rsidR="00553F47" w:rsidRPr="00F26062" w:rsidRDefault="00553F47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70F2655" w14:textId="77777777" w:rsidR="00B563B9" w:rsidRPr="00F26062" w:rsidRDefault="00087A0E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</w:t>
            </w:r>
            <w:r w:rsidR="00B563B9" w:rsidRPr="00F260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Completed</w:t>
            </w:r>
          </w:p>
        </w:tc>
      </w:tr>
      <w:tr w:rsidR="004B0424" w:rsidRPr="00F26062" w14:paraId="7A8546EB" w14:textId="77777777" w:rsidTr="00897E3C">
        <w:trPr>
          <w:trHeight w:val="602"/>
        </w:trPr>
        <w:tc>
          <w:tcPr>
            <w:tcW w:w="7778" w:type="dxa"/>
            <w:shd w:val="clear" w:color="auto" w:fill="auto"/>
            <w:noWrap/>
            <w:vAlign w:val="bottom"/>
          </w:tcPr>
          <w:p w14:paraId="7024211F" w14:textId="77777777" w:rsidR="006752AD" w:rsidRPr="008A4156" w:rsidRDefault="006752AD" w:rsidP="004B0424">
            <w:pPr>
              <w:spacing w:after="0" w:line="240" w:lineRule="auto"/>
              <w:rPr>
                <w:rFonts w:ascii="Arial" w:hAnsi="Arial" w:cs="Arial"/>
              </w:rPr>
            </w:pPr>
            <w:r w:rsidRPr="006752AD">
              <w:rPr>
                <w:rFonts w:ascii="Arial" w:hAnsi="Arial" w:cs="Arial"/>
                <w:b/>
                <w:highlight w:val="yellow"/>
              </w:rPr>
              <w:t>NOTE:</w:t>
            </w:r>
            <w:r w:rsidRPr="006752AD">
              <w:rPr>
                <w:rFonts w:ascii="Arial" w:hAnsi="Arial" w:cs="Arial"/>
              </w:rPr>
              <w:t xml:space="preserve"> </w:t>
            </w:r>
            <w:r w:rsidRPr="006752AD">
              <w:rPr>
                <w:rFonts w:ascii="Arial" w:hAnsi="Arial" w:cs="Arial"/>
                <w:b/>
              </w:rPr>
              <w:t>The Dean must receive prior approval for Tenure Upon Hire from the Provost before the letter of offer is sent to the candidate.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351797AD" w14:textId="77777777" w:rsidR="004B0424" w:rsidRPr="00F26062" w:rsidRDefault="006752AD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5229399" w14:textId="77777777" w:rsidR="004B0424" w:rsidRDefault="004B0424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6752AD" w:rsidRPr="00F26062" w14:paraId="45F62C6C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65FEAC9D" w14:textId="77777777" w:rsidR="006752AD" w:rsidRDefault="006752AD" w:rsidP="006752A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Tenure Upon Appointment needs to be requested this information will need to go in the Letter of Offer and the Addendum. 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7630FDFD" w14:textId="77777777" w:rsidR="006752AD" w:rsidRDefault="006752AD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</w:t>
            </w:r>
            <w:r w:rsidR="00DE174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G or OM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08CD5E2" w14:textId="77777777" w:rsidR="006752AD" w:rsidRDefault="006752AD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4156" w:rsidRPr="00F26062" w14:paraId="2C425E64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1013059A" w14:textId="77777777" w:rsidR="008A4156" w:rsidRDefault="008A4156" w:rsidP="004B04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Notify the Director or Chair of the unit that Tenure Upon Appointment will be requested and a vote is needed from the faculty in that unit. 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44CA9AAB" w14:textId="77777777" w:rsidR="008A4156" w:rsidRDefault="008A4156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2B9C7507" w14:textId="77777777" w:rsidR="008A4156" w:rsidRDefault="008A415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4156" w:rsidRPr="00F26062" w14:paraId="0E7EAE49" w14:textId="77777777" w:rsidTr="00E745A1">
        <w:trPr>
          <w:trHeight w:val="2420"/>
        </w:trPr>
        <w:tc>
          <w:tcPr>
            <w:tcW w:w="7778" w:type="dxa"/>
            <w:shd w:val="clear" w:color="auto" w:fill="auto"/>
            <w:noWrap/>
            <w:vAlign w:val="bottom"/>
          </w:tcPr>
          <w:p w14:paraId="092BFBCC" w14:textId="77777777" w:rsidR="008A4156" w:rsidRDefault="008A4156" w:rsidP="004B04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the Letter of Offer is signed and returned by the candidate, begin the process for Tenure Upon Appointment.</w:t>
            </w:r>
          </w:p>
          <w:p w14:paraId="77676FF0" w14:textId="77777777" w:rsidR="008A4156" w:rsidRDefault="008A4156" w:rsidP="004B0424">
            <w:pPr>
              <w:spacing w:after="0" w:line="240" w:lineRule="auto"/>
              <w:rPr>
                <w:rFonts w:ascii="Arial" w:hAnsi="Arial" w:cs="Arial"/>
              </w:rPr>
            </w:pPr>
          </w:p>
          <w:p w14:paraId="563E382E" w14:textId="77777777" w:rsidR="00E745A1" w:rsidRDefault="008A4156" w:rsidP="008708E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**An email of the submission deadline should come from the Provost Office.  If you have not received a deadline, contact the Provost Office and ask them for the date</w:t>
            </w:r>
            <w:r w:rsidR="008708E7">
              <w:rPr>
                <w:rFonts w:ascii="Arial" w:hAnsi="Arial" w:cs="Arial"/>
              </w:rPr>
              <w:t xml:space="preserve"> by emailing the</w:t>
            </w:r>
            <w:r>
              <w:rPr>
                <w:rFonts w:ascii="Arial" w:hAnsi="Arial" w:cs="Arial"/>
              </w:rPr>
              <w:t xml:space="preserve"> Provost</w:t>
            </w:r>
            <w:r w:rsidR="008708E7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Executive Assistant Becky Holt </w:t>
            </w:r>
            <w:hyperlink r:id="rId10" w:history="1">
              <w:r w:rsidR="008708E7" w:rsidRPr="006730AB">
                <w:rPr>
                  <w:rStyle w:val="Hyperlink"/>
                  <w:rFonts w:ascii="Arial" w:hAnsi="Arial" w:cs="Arial"/>
                </w:rPr>
                <w:t>bholt@aa.ufl.edu</w:t>
              </w:r>
            </w:hyperlink>
            <w:r>
              <w:rPr>
                <w:rFonts w:ascii="Arial" w:hAnsi="Arial" w:cs="Arial"/>
              </w:rPr>
              <w:t>)</w:t>
            </w:r>
            <w:r w:rsidR="008708E7">
              <w:rPr>
                <w:rFonts w:ascii="Arial" w:hAnsi="Arial" w:cs="Arial"/>
              </w:rPr>
              <w:t xml:space="preserve">.  As a time reference, she needs documents </w:t>
            </w:r>
            <w:r w:rsidR="008708E7" w:rsidRPr="008708E7">
              <w:rPr>
                <w:rFonts w:ascii="Arial" w:hAnsi="Arial" w:cs="Arial"/>
                <w:b/>
              </w:rPr>
              <w:t>one month</w:t>
            </w:r>
            <w:r w:rsidR="008708E7">
              <w:rPr>
                <w:rFonts w:ascii="Arial" w:hAnsi="Arial" w:cs="Arial"/>
              </w:rPr>
              <w:t xml:space="preserve"> before the Board of Trustees meets. See upcoming meetings at this link </w:t>
            </w:r>
            <w:hyperlink r:id="rId11" w:history="1">
              <w:r w:rsidR="00E745A1" w:rsidRPr="00E94F5B">
                <w:rPr>
                  <w:rStyle w:val="Hyperlink"/>
                  <w:rFonts w:ascii="Arial" w:hAnsi="Arial" w:cs="Arial"/>
                </w:rPr>
                <w:t>http://trustees.ufl.edu/</w:t>
              </w:r>
            </w:hyperlink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2BFE2F6D" w14:textId="77777777" w:rsidR="008A4156" w:rsidRDefault="00DE174F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HRG or OM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516E45F5" w14:textId="77777777" w:rsidR="008A4156" w:rsidRDefault="008A415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174F" w:rsidRPr="00F26062" w14:paraId="1C1FFF4C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2CF0D7AD" w14:textId="77777777" w:rsidR="00DE174F" w:rsidRDefault="00DE174F" w:rsidP="004B04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 Dean and Department Director or Chair that the letter has been returned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2E8EC152" w14:textId="77777777" w:rsidR="00DE174F" w:rsidRDefault="00DE174F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HRG or OM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359B267B" w14:textId="77777777" w:rsidR="00DE174F" w:rsidRDefault="00DE174F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DE174F" w:rsidRPr="00F26062" w14:paraId="4A4C3F3B" w14:textId="77777777" w:rsidTr="00897E3C">
        <w:trPr>
          <w:trHeight w:val="422"/>
        </w:trPr>
        <w:tc>
          <w:tcPr>
            <w:tcW w:w="7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91CC72" w14:textId="77777777" w:rsidR="00163AA8" w:rsidRDefault="00DE174F" w:rsidP="00163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Arrange voting </w:t>
            </w:r>
          </w:p>
          <w:p w14:paraId="7E5CEFFA" w14:textId="01F7E40B" w:rsidR="00DE174F" w:rsidRDefault="00163AA8" w:rsidP="00163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bookmarkStart w:id="1" w:name="_Hlk34295736"/>
            <w:r w:rsidRPr="00163AA8">
              <w:rPr>
                <w:rFonts w:ascii="Arial" w:hAnsi="Arial" w:cs="Arial"/>
              </w:rPr>
              <w:t>Distribute the faculty hire’s vitae to tenured</w:t>
            </w:r>
            <w:r>
              <w:rPr>
                <w:rFonts w:ascii="Arial" w:hAnsi="Arial" w:cs="Arial"/>
              </w:rPr>
              <w:t xml:space="preserve"> </w:t>
            </w:r>
            <w:r w:rsidRPr="00163AA8">
              <w:rPr>
                <w:rFonts w:ascii="Arial" w:hAnsi="Arial" w:cs="Arial"/>
              </w:rPr>
              <w:t>faculty</w:t>
            </w:r>
          </w:p>
          <w:bookmarkEnd w:id="1"/>
          <w:p w14:paraId="4E6F3D5C" w14:textId="77777777" w:rsidR="00163AA8" w:rsidRPr="00163AA8" w:rsidRDefault="00163AA8" w:rsidP="00163AA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163AA8">
              <w:rPr>
                <w:rFonts w:ascii="Arial" w:hAnsi="Arial" w:cs="Arial"/>
              </w:rPr>
              <w:t>old a meeting with tenured faculty to discuss the appointment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91CFDC" w14:textId="77777777" w:rsidR="00DE174F" w:rsidRDefault="00DE174F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Director/Chair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DFF1CE" w14:textId="77777777" w:rsidR="00DE174F" w:rsidRDefault="00DE174F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163AA8" w:rsidRPr="00F26062" w14:paraId="1F5F0837" w14:textId="77777777" w:rsidTr="00897E3C">
        <w:trPr>
          <w:trHeight w:val="422"/>
        </w:trPr>
        <w:tc>
          <w:tcPr>
            <w:tcW w:w="77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A229AA4" w14:textId="77777777" w:rsidR="00163AA8" w:rsidRDefault="00163AA8" w:rsidP="00163AA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an electronic or paper </w:t>
            </w:r>
            <w:r w:rsidRPr="00163AA8">
              <w:rPr>
                <w:rFonts w:ascii="Arial" w:hAnsi="Arial" w:cs="Arial"/>
              </w:rPr>
              <w:t xml:space="preserve">ballot. Remember that the vote is ONLY on tenure (not rank). </w:t>
            </w:r>
            <w:r>
              <w:rPr>
                <w:rFonts w:ascii="Arial" w:hAnsi="Arial" w:cs="Arial"/>
              </w:rPr>
              <w:t xml:space="preserve">The vote must offer the options </w:t>
            </w:r>
            <w:r w:rsidRPr="00163AA8">
              <w:rPr>
                <w:rFonts w:ascii="Arial" w:hAnsi="Arial" w:cs="Arial"/>
              </w:rPr>
              <w:t>to support</w:t>
            </w:r>
            <w:r>
              <w:rPr>
                <w:rFonts w:ascii="Arial" w:hAnsi="Arial" w:cs="Arial"/>
              </w:rPr>
              <w:t xml:space="preserve"> (for)</w:t>
            </w:r>
            <w:r w:rsidRPr="00163AA8">
              <w:rPr>
                <w:rFonts w:ascii="Arial" w:hAnsi="Arial" w:cs="Arial"/>
              </w:rPr>
              <w:t xml:space="preserve"> tenure, deny</w:t>
            </w:r>
            <w:r>
              <w:rPr>
                <w:rFonts w:ascii="Arial" w:hAnsi="Arial" w:cs="Arial"/>
              </w:rPr>
              <w:t xml:space="preserve"> (against)</w:t>
            </w:r>
            <w:r w:rsidRPr="00163AA8">
              <w:rPr>
                <w:rFonts w:ascii="Arial" w:hAnsi="Arial" w:cs="Arial"/>
              </w:rPr>
              <w:t xml:space="preserve"> tenure, or abstain.</w:t>
            </w:r>
          </w:p>
          <w:p w14:paraId="4C93681C" w14:textId="77777777" w:rsidR="00163AA8" w:rsidRPr="00163AA8" w:rsidRDefault="00163AA8" w:rsidP="00DB29C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Type voting </w:t>
            </w:r>
            <w:r w:rsidRPr="00163AA8">
              <w:rPr>
                <w:rFonts w:ascii="Arial" w:hAnsi="Arial" w:cs="Arial"/>
              </w:rPr>
              <w:t>results on the</w:t>
            </w:r>
            <w:r>
              <w:t xml:space="preserve"> </w:t>
            </w:r>
            <w:r w:rsidRPr="00163AA8">
              <w:rPr>
                <w:rFonts w:ascii="Arial" w:hAnsi="Arial" w:cs="Arial"/>
              </w:rPr>
              <w:t>Recommendation for Tenure Upon Hire Form.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0DCE8A" w14:textId="77777777" w:rsidR="00163AA8" w:rsidRDefault="00163AA8" w:rsidP="000E76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Office Manager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B97235" w14:textId="77777777" w:rsidR="00163AA8" w:rsidRDefault="00163AA8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23F6" w:rsidRPr="00F26062" w14:paraId="36845DB3" w14:textId="77777777" w:rsidTr="00897E3C">
        <w:trPr>
          <w:trHeight w:val="422"/>
        </w:trPr>
        <w:tc>
          <w:tcPr>
            <w:tcW w:w="7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CAD8DD" w14:textId="77777777" w:rsidR="000D23F6" w:rsidRDefault="000D23F6" w:rsidP="004B04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EE4736" w14:textId="77777777" w:rsidR="000D23F6" w:rsidRDefault="000D23F6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ED3EA" w14:textId="77777777" w:rsidR="000D23F6" w:rsidRDefault="000D23F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23F6" w:rsidRPr="00F26062" w14:paraId="0A2E9E45" w14:textId="77777777" w:rsidTr="00897E3C">
        <w:trPr>
          <w:trHeight w:val="422"/>
        </w:trPr>
        <w:tc>
          <w:tcPr>
            <w:tcW w:w="7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B5D85" w14:textId="77777777" w:rsidR="000D23F6" w:rsidRDefault="000D23F6" w:rsidP="004B0424">
            <w:pPr>
              <w:spacing w:after="0" w:line="240" w:lineRule="auto"/>
              <w:rPr>
                <w:rFonts w:ascii="Arial" w:hAnsi="Arial" w:cs="Arial"/>
              </w:rPr>
            </w:pPr>
          </w:p>
          <w:p w14:paraId="420F785B" w14:textId="77777777" w:rsidR="000D23F6" w:rsidRDefault="000D23F6" w:rsidP="004B04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90802" w14:textId="77777777" w:rsidR="000D23F6" w:rsidRDefault="000D23F6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52379" w14:textId="77777777" w:rsidR="000D23F6" w:rsidRDefault="000D23F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D23F6" w:rsidRPr="00F26062" w14:paraId="01BDD825" w14:textId="77777777" w:rsidTr="00897E3C">
        <w:trPr>
          <w:trHeight w:val="422"/>
        </w:trPr>
        <w:tc>
          <w:tcPr>
            <w:tcW w:w="7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7A7138" w14:textId="77777777" w:rsidR="000D23F6" w:rsidRDefault="000D23F6" w:rsidP="004B04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9563501" w14:textId="77777777" w:rsidR="000D23F6" w:rsidRDefault="000D23F6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3C4206" w14:textId="77777777" w:rsidR="000D23F6" w:rsidRDefault="000D23F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4156" w:rsidRPr="00F26062" w14:paraId="64AB18EE" w14:textId="77777777" w:rsidTr="00897E3C">
        <w:trPr>
          <w:trHeight w:val="422"/>
        </w:trPr>
        <w:tc>
          <w:tcPr>
            <w:tcW w:w="777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B19AF92" w14:textId="77777777" w:rsidR="00762130" w:rsidRDefault="00762130" w:rsidP="004B0424">
            <w:pPr>
              <w:spacing w:after="0" w:line="240" w:lineRule="auto"/>
              <w:rPr>
                <w:rFonts w:ascii="Arial" w:hAnsi="Arial" w:cs="Arial"/>
              </w:rPr>
            </w:pPr>
          </w:p>
          <w:p w14:paraId="537173B8" w14:textId="77777777" w:rsidR="008A4156" w:rsidRPr="006D19E4" w:rsidRDefault="008A4156" w:rsidP="004B0424">
            <w:pPr>
              <w:spacing w:after="0" w:line="240" w:lineRule="auto"/>
              <w:rPr>
                <w:rFonts w:ascii="Arial" w:hAnsi="Arial" w:cs="Arial"/>
                <w:color w:val="333132"/>
                <w:lang w:val="en"/>
              </w:rPr>
            </w:pPr>
            <w:r w:rsidRPr="00F67AFB">
              <w:rPr>
                <w:rFonts w:ascii="Arial" w:hAnsi="Arial" w:cs="Arial"/>
              </w:rPr>
              <w:t xml:space="preserve">VI. TENURE UPON APPOINTMENT </w:t>
            </w:r>
            <w:r w:rsidR="00DD72BE" w:rsidRPr="00F67AFB">
              <w:rPr>
                <w:rFonts w:ascii="Arial" w:hAnsi="Arial" w:cs="Arial"/>
              </w:rPr>
              <w:t xml:space="preserve">: taken </w:t>
            </w:r>
            <w:r w:rsidR="00DD72BE" w:rsidRPr="006D19E4">
              <w:rPr>
                <w:rFonts w:ascii="Arial" w:hAnsi="Arial" w:cs="Arial"/>
              </w:rPr>
              <w:t xml:space="preserve">from </w:t>
            </w:r>
            <w:hyperlink r:id="rId12" w:history="1">
              <w:r w:rsidR="006D19E4" w:rsidRPr="006D19E4">
                <w:rPr>
                  <w:rStyle w:val="Hyperlink"/>
                  <w:rFonts w:ascii="Arial" w:hAnsi="Arial" w:cs="Arial"/>
                  <w:lang w:val="en"/>
                </w:rPr>
                <w:t>Promotion and Tenure Guidelines 2019-2020</w:t>
              </w:r>
            </w:hyperlink>
            <w:r w:rsidR="006D19E4" w:rsidRPr="006D19E4">
              <w:rPr>
                <w:rFonts w:ascii="Arial" w:hAnsi="Arial" w:cs="Arial"/>
                <w:color w:val="333132"/>
                <w:lang w:val="en"/>
              </w:rPr>
              <w:t> (PDF)</w:t>
            </w:r>
          </w:p>
          <w:p w14:paraId="4271382E" w14:textId="77777777" w:rsidR="006D19E4" w:rsidRPr="00F67AFB" w:rsidRDefault="006D19E4" w:rsidP="004B0424">
            <w:pPr>
              <w:spacing w:after="0" w:line="240" w:lineRule="auto"/>
              <w:rPr>
                <w:rFonts w:ascii="Arial" w:hAnsi="Arial" w:cs="Arial"/>
              </w:rPr>
            </w:pPr>
          </w:p>
          <w:p w14:paraId="0C850A7D" w14:textId="77777777" w:rsidR="008A4156" w:rsidRPr="00F67AFB" w:rsidRDefault="008A4156" w:rsidP="008A415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0"/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</w:rPr>
              <w:t xml:space="preserve">Under exceptional circumstances, an award of tenure may be recommended to the Board of Trustees at the time of initial appointment to the rank of Associate Professor or above. </w:t>
            </w:r>
          </w:p>
          <w:p w14:paraId="66F025B7" w14:textId="77777777" w:rsidR="008A4156" w:rsidRPr="00F67AFB" w:rsidRDefault="008A4156" w:rsidP="008A4156">
            <w:pPr>
              <w:pStyle w:val="ListParagraph"/>
              <w:spacing w:after="0" w:line="240" w:lineRule="auto"/>
              <w:ind w:left="420"/>
              <w:rPr>
                <w:rFonts w:ascii="Arial" w:hAnsi="Arial" w:cs="Arial"/>
              </w:rPr>
            </w:pPr>
          </w:p>
          <w:p w14:paraId="25E3C230" w14:textId="77777777" w:rsidR="008A4156" w:rsidRPr="00F67AFB" w:rsidRDefault="008A4156" w:rsidP="008A415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0"/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</w:rPr>
              <w:t xml:space="preserve">Requests for tenure upon appointment should be submitted to the Provost </w:t>
            </w:r>
            <w:r w:rsidRPr="00B642D6">
              <w:rPr>
                <w:rFonts w:ascii="Arial" w:hAnsi="Arial" w:cs="Arial"/>
                <w:b/>
                <w:highlight w:val="yellow"/>
              </w:rPr>
              <w:t>before</w:t>
            </w:r>
            <w:r w:rsidRPr="00F67AFB">
              <w:rPr>
                <w:rFonts w:ascii="Arial" w:hAnsi="Arial" w:cs="Arial"/>
              </w:rPr>
              <w:t xml:space="preserve"> the candidate’s appointment commences. </w:t>
            </w:r>
            <w:r w:rsidRPr="006D19E4">
              <w:rPr>
                <w:rFonts w:ascii="Arial" w:hAnsi="Arial" w:cs="Arial"/>
                <w:highlight w:val="yellow"/>
              </w:rPr>
              <w:t>The form for submitting requests for tenure on hire can be found at</w:t>
            </w:r>
            <w:r w:rsidRPr="00F67AFB">
              <w:rPr>
                <w:rFonts w:ascii="Arial" w:hAnsi="Arial" w:cs="Arial"/>
              </w:rPr>
              <w:t xml:space="preserve"> </w:t>
            </w:r>
            <w:hyperlink r:id="rId13" w:history="1">
              <w:r w:rsidRPr="00F67AFB">
                <w:rPr>
                  <w:rStyle w:val="Hyperlink"/>
                  <w:rFonts w:ascii="Arial" w:hAnsi="Arial" w:cs="Arial"/>
                </w:rPr>
                <w:t>http://www.aa.ufl.edu/tenure</w:t>
              </w:r>
            </w:hyperlink>
            <w:r w:rsidRPr="00F67AFB">
              <w:rPr>
                <w:rFonts w:ascii="Arial" w:hAnsi="Arial" w:cs="Arial"/>
              </w:rPr>
              <w:t xml:space="preserve">. </w:t>
            </w:r>
          </w:p>
          <w:p w14:paraId="2D9D63B6" w14:textId="77777777" w:rsidR="008A4156" w:rsidRPr="00F67AFB" w:rsidRDefault="008A4156" w:rsidP="008A4156">
            <w:pPr>
              <w:pStyle w:val="ListParagraph"/>
              <w:ind w:left="420"/>
              <w:rPr>
                <w:rFonts w:ascii="Arial" w:hAnsi="Arial" w:cs="Arial"/>
              </w:rPr>
            </w:pPr>
          </w:p>
          <w:p w14:paraId="0A070068" w14:textId="77777777" w:rsidR="003C33CC" w:rsidRPr="00F67AFB" w:rsidRDefault="003C33CC" w:rsidP="003C33CC">
            <w:pPr>
              <w:pStyle w:val="ListParagraph"/>
              <w:ind w:left="420"/>
              <w:rPr>
                <w:rFonts w:ascii="Arial" w:hAnsi="Arial" w:cs="Arial"/>
                <w:b/>
              </w:rPr>
            </w:pPr>
            <w:r w:rsidRPr="00F67AFB">
              <w:rPr>
                <w:rFonts w:ascii="Arial" w:hAnsi="Arial" w:cs="Arial"/>
                <w:b/>
                <w:u w:val="single"/>
              </w:rPr>
              <w:t>ATTACHMENTS REQUIRED</w:t>
            </w:r>
            <w:r w:rsidRPr="00F67AFB">
              <w:rPr>
                <w:rFonts w:ascii="Arial" w:hAnsi="Arial" w:cs="Arial"/>
                <w:b/>
              </w:rPr>
              <w:t xml:space="preserve">:  </w:t>
            </w:r>
          </w:p>
          <w:p w14:paraId="49A74D9A" w14:textId="77777777" w:rsidR="003C33CC" w:rsidRPr="00F67AFB" w:rsidRDefault="003C33CC" w:rsidP="003C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  <w:b/>
              </w:rPr>
              <w:t xml:space="preserve">Letter of support from College Dean stating reasons for the request and justification of the special circumstances that warrant tenure as a condition of employment </w:t>
            </w:r>
          </w:p>
          <w:p w14:paraId="3258F326" w14:textId="77777777" w:rsidR="003C33CC" w:rsidRPr="00F67AFB" w:rsidRDefault="003C33CC" w:rsidP="003C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  <w:b/>
              </w:rPr>
              <w:t>Copy of candidate’s CV</w:t>
            </w:r>
          </w:p>
          <w:p w14:paraId="1974C95B" w14:textId="77777777" w:rsidR="003C33CC" w:rsidRPr="00F67AFB" w:rsidRDefault="003C33CC" w:rsidP="003C33C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  <w:b/>
              </w:rPr>
              <w:t>Three letters of reference (if available)</w:t>
            </w:r>
          </w:p>
          <w:p w14:paraId="305D65A7" w14:textId="77777777" w:rsidR="004660E4" w:rsidRPr="0063240F" w:rsidRDefault="0063240F" w:rsidP="0063240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35115E">
              <w:rPr>
                <w:rFonts w:ascii="Arial" w:hAnsi="Arial" w:cs="Arial"/>
              </w:rPr>
              <w:t>isted in the guidelines under number 3</w:t>
            </w:r>
            <w:r>
              <w:rPr>
                <w:rFonts w:ascii="Arial" w:hAnsi="Arial" w:cs="Arial"/>
              </w:rPr>
              <w:t>, but not on form</w:t>
            </w:r>
            <w:r w:rsidRPr="0035115E">
              <w:rPr>
                <w:rFonts w:ascii="Arial" w:hAnsi="Arial" w:cs="Arial"/>
              </w:rPr>
              <w:t xml:space="preserve">. </w:t>
            </w:r>
            <w:r w:rsidR="004660E4" w:rsidRPr="0063240F">
              <w:rPr>
                <w:rFonts w:ascii="Arial" w:hAnsi="Arial" w:cs="Arial"/>
              </w:rPr>
              <w:t>Recent teaching evaluations should be included, if appropriate and available.</w:t>
            </w:r>
            <w:r w:rsidR="00A17A61" w:rsidRPr="0063240F">
              <w:rPr>
                <w:rFonts w:ascii="Arial" w:hAnsi="Arial" w:cs="Arial"/>
              </w:rPr>
              <w:t xml:space="preserve"> (Email candidate for these)</w:t>
            </w:r>
            <w:r w:rsidR="00F20DBE" w:rsidRPr="0063240F">
              <w:rPr>
                <w:rFonts w:ascii="Arial" w:hAnsi="Arial" w:cs="Arial"/>
              </w:rPr>
              <w:t xml:space="preserve"> </w:t>
            </w:r>
            <w:r w:rsidR="008708E7" w:rsidRPr="0063240F">
              <w:rPr>
                <w:rFonts w:ascii="Arial" w:hAnsi="Arial" w:cs="Arial"/>
                <w:b/>
                <w:highlight w:val="yellow"/>
              </w:rPr>
              <w:t>*Note:</w:t>
            </w:r>
            <w:r w:rsidR="008708E7" w:rsidRPr="0063240F">
              <w:rPr>
                <w:rFonts w:ascii="Arial" w:hAnsi="Arial" w:cs="Arial"/>
              </w:rPr>
              <w:t xml:space="preserve"> Becky</w:t>
            </w:r>
            <w:r>
              <w:rPr>
                <w:rFonts w:ascii="Arial" w:hAnsi="Arial" w:cs="Arial"/>
              </w:rPr>
              <w:t xml:space="preserve"> Holt</w:t>
            </w:r>
            <w:r w:rsidR="008708E7" w:rsidRPr="0063240F">
              <w:rPr>
                <w:rFonts w:ascii="Arial" w:hAnsi="Arial" w:cs="Arial"/>
              </w:rPr>
              <w:t xml:space="preserve"> said she’s never received any.  </w:t>
            </w:r>
            <w:r>
              <w:rPr>
                <w:rFonts w:ascii="Arial" w:hAnsi="Arial" w:cs="Arial"/>
              </w:rPr>
              <w:t xml:space="preserve">She checked with </w:t>
            </w:r>
            <w:r w:rsidRPr="0063240F">
              <w:rPr>
                <w:rFonts w:ascii="Arial" w:hAnsi="Arial" w:cs="Arial"/>
              </w:rPr>
              <w:t xml:space="preserve">Dr. Glover </w:t>
            </w:r>
            <w:r>
              <w:rPr>
                <w:rFonts w:ascii="Arial" w:hAnsi="Arial" w:cs="Arial"/>
              </w:rPr>
              <w:t xml:space="preserve">(Provost) </w:t>
            </w:r>
            <w:r w:rsidRPr="0063240F">
              <w:rPr>
                <w:rFonts w:ascii="Arial" w:hAnsi="Arial" w:cs="Arial"/>
              </w:rPr>
              <w:t>and he indicated he would only need to see the teaching evaluations if it was necessary to help in making a determination regarding the faculty’s tenure.</w:t>
            </w:r>
          </w:p>
          <w:p w14:paraId="0A1176FC" w14:textId="77777777" w:rsidR="008A4156" w:rsidRPr="00F67AFB" w:rsidRDefault="008A4156" w:rsidP="008A415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0"/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</w:rPr>
              <w:t xml:space="preserve">Requests for tenure upon appointment should be accompanied by a statement of reasons for the request and supporting documentation, including a statement justifying the special circumstances that warrant granting tenure as a condition of employment, the candidate’s complete curriculum vitae, letters of reference if available, and the vote on tenure of the appropriate department/unit faculty. </w:t>
            </w:r>
            <w:r w:rsidR="00CC4A31">
              <w:rPr>
                <w:rFonts w:ascii="Arial" w:hAnsi="Arial" w:cs="Arial"/>
              </w:rPr>
              <w:t xml:space="preserve"> </w:t>
            </w:r>
            <w:r w:rsidR="00CC4A31" w:rsidRPr="00CC4A31">
              <w:rPr>
                <w:rFonts w:ascii="Arial" w:hAnsi="Arial" w:cs="Arial"/>
              </w:rPr>
              <w:t>Recent teaching evaluations should be included, if</w:t>
            </w:r>
            <w:r w:rsidR="00CC4A31">
              <w:rPr>
                <w:rFonts w:ascii="Arial" w:hAnsi="Arial" w:cs="Arial"/>
              </w:rPr>
              <w:t xml:space="preserve"> </w:t>
            </w:r>
            <w:r w:rsidR="00CC4A31" w:rsidRPr="00CC4A31">
              <w:rPr>
                <w:rFonts w:ascii="Arial" w:hAnsi="Arial" w:cs="Arial"/>
              </w:rPr>
              <w:t>appropriate and available.</w:t>
            </w:r>
            <w:r w:rsidR="00CC4A31">
              <w:rPr>
                <w:rFonts w:ascii="Arial" w:hAnsi="Arial" w:cs="Arial"/>
              </w:rPr>
              <w:t xml:space="preserve"> </w:t>
            </w:r>
            <w:r w:rsidR="006752AD" w:rsidRPr="003918CD">
              <w:rPr>
                <w:rFonts w:ascii="Arial" w:hAnsi="Arial" w:cs="Arial"/>
                <w:b/>
              </w:rPr>
              <w:t>These items are also listed on the Recommendation for Tenure Upon Hire Form.</w:t>
            </w:r>
          </w:p>
          <w:p w14:paraId="5B0E67AE" w14:textId="77777777" w:rsidR="008A4156" w:rsidRPr="00F67AFB" w:rsidRDefault="008A4156" w:rsidP="008A4156">
            <w:pPr>
              <w:pStyle w:val="ListParagraph"/>
              <w:spacing w:after="0" w:line="240" w:lineRule="auto"/>
              <w:ind w:left="420"/>
              <w:rPr>
                <w:rFonts w:ascii="Arial" w:hAnsi="Arial" w:cs="Arial"/>
              </w:rPr>
            </w:pPr>
          </w:p>
          <w:p w14:paraId="52AC58A6" w14:textId="77777777" w:rsidR="008A4156" w:rsidRPr="00F67AFB" w:rsidRDefault="008A4156" w:rsidP="008A4156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ind w:left="420"/>
              <w:rPr>
                <w:rFonts w:ascii="Arial" w:hAnsi="Arial" w:cs="Arial"/>
              </w:rPr>
            </w:pPr>
            <w:r w:rsidRPr="00F67AFB">
              <w:rPr>
                <w:rFonts w:ascii="Arial" w:hAnsi="Arial" w:cs="Arial"/>
              </w:rPr>
              <w:t>Approved requests for tenure on appointment normally will be submitted for final decision to the first Board of Trustees meeting following the acceptance of employment</w:t>
            </w:r>
            <w:r w:rsidR="00F20DBE" w:rsidRPr="00F67AFB">
              <w:rPr>
                <w:rFonts w:ascii="Arial" w:hAnsi="Arial" w:cs="Arial"/>
              </w:rPr>
              <w:t xml:space="preserve"> and should be approved by the Board of Trustees before the anticipated start date</w:t>
            </w:r>
            <w:r w:rsidRPr="00F67AFB">
              <w:rPr>
                <w:rFonts w:ascii="Arial" w:hAnsi="Arial" w:cs="Arial"/>
              </w:rPr>
              <w:t>.</w:t>
            </w:r>
          </w:p>
          <w:p w14:paraId="38D1BB5C" w14:textId="77777777" w:rsidR="008A4156" w:rsidRPr="00F67AFB" w:rsidRDefault="008A4156" w:rsidP="00DD72B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10D9734" w14:textId="77777777" w:rsidR="008A4156" w:rsidRDefault="00DE174F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HRG or OM</w:t>
            </w:r>
            <w:r w:rsidR="003C33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should submit and collect  items needed</w:t>
            </w:r>
          </w:p>
          <w:p w14:paraId="616E9D79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B9C2743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09B1C4A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99932E7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5429099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5B21EC4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D530F3C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367C35F5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62EC494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B385408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AFC90D3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64CA0ED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4C69FBB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2EA9788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CC42B00" w14:textId="77777777" w:rsidR="00762130" w:rsidRDefault="00762130" w:rsidP="007621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CB27CBB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6681B0D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2E2AB26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CC9A17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0400A32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3D3EF96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49B3C04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25A15DB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505596F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944E03A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25ACFF0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0E7ECDF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0C771A2F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0342828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BF57160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20B70D4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5BF43FB8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443D535B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FB397E8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7D794EC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478DC1B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7BA0BE63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60B4E036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160A6863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  <w:p w14:paraId="28535F9B" w14:textId="77777777" w:rsidR="003C33CC" w:rsidRDefault="003C33CC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1877548" w14:textId="77777777" w:rsidR="008A4156" w:rsidRDefault="008A415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4156" w:rsidRPr="00F26062" w14:paraId="0828A98D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12E85122" w14:textId="77777777" w:rsidR="008A4156" w:rsidRDefault="00587538" w:rsidP="00587538">
            <w:pPr>
              <w:spacing w:after="0" w:line="240" w:lineRule="auto"/>
              <w:rPr>
                <w:rFonts w:ascii="Arial" w:hAnsi="Arial" w:cs="Arial"/>
              </w:rPr>
            </w:pPr>
            <w:r w:rsidRPr="00992DE3">
              <w:rPr>
                <w:rFonts w:ascii="Arial" w:hAnsi="Arial" w:cs="Arial"/>
                <w:b/>
              </w:rPr>
              <w:t>Email</w:t>
            </w:r>
            <w:r>
              <w:rPr>
                <w:rFonts w:ascii="Arial" w:hAnsi="Arial" w:cs="Arial"/>
              </w:rPr>
              <w:t xml:space="preserve"> Recommendation for Tenure Upon Hire Form and attachments to the Provost</w:t>
            </w:r>
            <w:r w:rsidR="00DD72B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s Executive Assistant Becky Holt </w:t>
            </w:r>
            <w:r w:rsidRPr="008A4156">
              <w:rPr>
                <w:rFonts w:ascii="Arial" w:hAnsi="Arial" w:cs="Arial"/>
              </w:rPr>
              <w:t>bholt@aa.ufl.edu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757D43B0" w14:textId="77777777" w:rsidR="008A4156" w:rsidRDefault="00DE174F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HRG or OM</w:t>
            </w: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19ABBEF" w14:textId="77777777" w:rsidR="008A4156" w:rsidRDefault="008A415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8A4156" w:rsidRPr="00F26062" w14:paraId="3A86AC8A" w14:textId="77777777" w:rsidTr="00897E3C">
        <w:trPr>
          <w:trHeight w:val="422"/>
        </w:trPr>
        <w:tc>
          <w:tcPr>
            <w:tcW w:w="7778" w:type="dxa"/>
            <w:shd w:val="clear" w:color="auto" w:fill="auto"/>
            <w:noWrap/>
            <w:vAlign w:val="bottom"/>
          </w:tcPr>
          <w:p w14:paraId="1AFD4504" w14:textId="77777777" w:rsidR="008708E7" w:rsidRDefault="008708E7" w:rsidP="004B04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After the Provosts Office receives the email the following happens. </w:t>
            </w:r>
          </w:p>
          <w:p w14:paraId="014D662D" w14:textId="77777777" w:rsidR="008A4156" w:rsidRPr="008708E7" w:rsidRDefault="008708E7" w:rsidP="008708E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708E7">
              <w:rPr>
                <w:rFonts w:ascii="Arial" w:hAnsi="Arial" w:cs="Arial"/>
              </w:rPr>
              <w:t>Provost looks at it and signs off</w:t>
            </w:r>
          </w:p>
          <w:p w14:paraId="115576E9" w14:textId="77777777" w:rsidR="00F840E0" w:rsidRDefault="008708E7" w:rsidP="00F840E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708E7">
              <w:rPr>
                <w:rFonts w:ascii="Arial" w:hAnsi="Arial" w:cs="Arial"/>
              </w:rPr>
              <w:t xml:space="preserve">Goes on Agenda for the next Board of Trustees </w:t>
            </w:r>
            <w:r>
              <w:rPr>
                <w:rFonts w:ascii="Arial" w:hAnsi="Arial" w:cs="Arial"/>
              </w:rPr>
              <w:t>meeting</w:t>
            </w:r>
          </w:p>
          <w:p w14:paraId="16BF82B8" w14:textId="77777777" w:rsidR="00F840E0" w:rsidRPr="00F840E0" w:rsidRDefault="00F840E0" w:rsidP="00F840E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960" w:hanging="270"/>
              <w:rPr>
                <w:rFonts w:ascii="Arial" w:hAnsi="Arial" w:cs="Arial"/>
              </w:rPr>
            </w:pPr>
            <w:r w:rsidRPr="00F840E0">
              <w:rPr>
                <w:rFonts w:ascii="Arial" w:hAnsi="Arial" w:cs="Arial"/>
              </w:rPr>
              <w:t xml:space="preserve">The trustees meet four times a year March, June, September, and December. See  Upcoming Meetings at this link </w:t>
            </w:r>
            <w:hyperlink r:id="rId14" w:history="1">
              <w:r w:rsidRPr="00F840E0">
                <w:rPr>
                  <w:rStyle w:val="Hyperlink"/>
                  <w:rFonts w:ascii="Arial" w:hAnsi="Arial" w:cs="Arial"/>
                </w:rPr>
                <w:t>http://trustees.ufl.edu/</w:t>
              </w:r>
            </w:hyperlink>
          </w:p>
          <w:p w14:paraId="4C06830E" w14:textId="77777777" w:rsidR="008708E7" w:rsidRPr="000E76D4" w:rsidRDefault="008708E7" w:rsidP="004B042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8708E7">
              <w:rPr>
                <w:rFonts w:ascii="Arial" w:hAnsi="Arial" w:cs="Arial"/>
              </w:rPr>
              <w:t xml:space="preserve">A letter </w:t>
            </w:r>
            <w:r>
              <w:rPr>
                <w:rFonts w:ascii="Arial" w:hAnsi="Arial" w:cs="Arial"/>
              </w:rPr>
              <w:t>is sent</w:t>
            </w:r>
            <w:r w:rsidRPr="008708E7">
              <w:rPr>
                <w:rFonts w:ascii="Arial" w:hAnsi="Arial" w:cs="Arial"/>
              </w:rPr>
              <w:t xml:space="preserve"> to the Dean </w:t>
            </w:r>
            <w:r w:rsidR="001B70D5">
              <w:rPr>
                <w:rFonts w:ascii="Arial" w:hAnsi="Arial" w:cs="Arial"/>
              </w:rPr>
              <w:t>with whether or not it’s</w:t>
            </w:r>
            <w:r w:rsidRPr="008708E7">
              <w:rPr>
                <w:rFonts w:ascii="Arial" w:hAnsi="Arial" w:cs="Arial"/>
              </w:rPr>
              <w:t xml:space="preserve"> been approved</w:t>
            </w:r>
          </w:p>
        </w:tc>
        <w:tc>
          <w:tcPr>
            <w:tcW w:w="1662" w:type="dxa"/>
            <w:shd w:val="clear" w:color="auto" w:fill="auto"/>
            <w:noWrap/>
            <w:vAlign w:val="bottom"/>
          </w:tcPr>
          <w:p w14:paraId="30DE86BE" w14:textId="77777777" w:rsidR="008A4156" w:rsidRDefault="008A4156" w:rsidP="00553F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shd w:val="clear" w:color="auto" w:fill="auto"/>
            <w:noWrap/>
            <w:vAlign w:val="bottom"/>
          </w:tcPr>
          <w:p w14:paraId="63E3F04D" w14:textId="77777777" w:rsidR="008A4156" w:rsidRDefault="008A4156" w:rsidP="008A26A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5B95F98E" w14:textId="77777777" w:rsidR="00B563B9" w:rsidRPr="00762130" w:rsidRDefault="00762130" w:rsidP="00762130">
      <w:pPr>
        <w:tabs>
          <w:tab w:val="left" w:pos="2700"/>
        </w:tabs>
      </w:pPr>
      <w:r>
        <w:tab/>
      </w:r>
    </w:p>
    <w:sectPr w:rsidR="00B563B9" w:rsidRPr="00762130" w:rsidSect="00762130">
      <w:headerReference w:type="default" r:id="rId15"/>
      <w:pgSz w:w="12240" w:h="15840"/>
      <w:pgMar w:top="144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30A79" w14:textId="77777777" w:rsidR="004E410F" w:rsidRDefault="004E410F" w:rsidP="00313B9A">
      <w:pPr>
        <w:spacing w:after="0" w:line="240" w:lineRule="auto"/>
      </w:pPr>
      <w:r>
        <w:separator/>
      </w:r>
    </w:p>
  </w:endnote>
  <w:endnote w:type="continuationSeparator" w:id="0">
    <w:p w14:paraId="360B0D8F" w14:textId="77777777" w:rsidR="004E410F" w:rsidRDefault="004E410F" w:rsidP="0031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3AB1B" w14:textId="77777777" w:rsidR="004E410F" w:rsidRDefault="004E410F" w:rsidP="00313B9A">
      <w:pPr>
        <w:spacing w:after="0" w:line="240" w:lineRule="auto"/>
      </w:pPr>
      <w:r>
        <w:separator/>
      </w:r>
    </w:p>
  </w:footnote>
  <w:footnote w:type="continuationSeparator" w:id="0">
    <w:p w14:paraId="7B014B47" w14:textId="77777777" w:rsidR="004E410F" w:rsidRDefault="004E410F" w:rsidP="0031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98381352"/>
      <w:docPartObj>
        <w:docPartGallery w:val="Page Numbers (Top of Page)"/>
        <w:docPartUnique/>
      </w:docPartObj>
    </w:sdtPr>
    <w:sdtEndPr/>
    <w:sdtContent>
      <w:p w14:paraId="586EEB8B" w14:textId="77777777" w:rsidR="00313B9A" w:rsidRPr="00AC707D" w:rsidRDefault="00313B9A" w:rsidP="00313B9A">
        <w:pPr>
          <w:spacing w:after="0" w:line="240" w:lineRule="auto"/>
          <w:ind w:left="58"/>
          <w:rPr>
            <w:b/>
            <w:bCs/>
            <w:sz w:val="18"/>
            <w:szCs w:val="18"/>
          </w:rPr>
        </w:pPr>
        <w:r w:rsidRPr="00AC707D">
          <w:rPr>
            <w:sz w:val="18"/>
            <w:szCs w:val="18"/>
          </w:rPr>
          <w:t xml:space="preserve">Page </w:t>
        </w:r>
        <w:r w:rsidRPr="00AC707D">
          <w:rPr>
            <w:b/>
            <w:bCs/>
            <w:sz w:val="18"/>
            <w:szCs w:val="18"/>
          </w:rPr>
          <w:fldChar w:fldCharType="begin"/>
        </w:r>
        <w:r w:rsidRPr="00AC707D">
          <w:rPr>
            <w:b/>
            <w:bCs/>
            <w:sz w:val="18"/>
            <w:szCs w:val="18"/>
          </w:rPr>
          <w:instrText xml:space="preserve"> PAGE </w:instrText>
        </w:r>
        <w:r w:rsidRPr="00AC707D">
          <w:rPr>
            <w:b/>
            <w:bCs/>
            <w:sz w:val="18"/>
            <w:szCs w:val="18"/>
          </w:rPr>
          <w:fldChar w:fldCharType="separate"/>
        </w:r>
        <w:r w:rsidR="00E745A1">
          <w:rPr>
            <w:b/>
            <w:bCs/>
            <w:noProof/>
            <w:sz w:val="18"/>
            <w:szCs w:val="18"/>
          </w:rPr>
          <w:t>2</w:t>
        </w:r>
        <w:r w:rsidRPr="00AC707D">
          <w:rPr>
            <w:b/>
            <w:bCs/>
            <w:sz w:val="18"/>
            <w:szCs w:val="18"/>
          </w:rPr>
          <w:fldChar w:fldCharType="end"/>
        </w:r>
        <w:r w:rsidRPr="00AC707D">
          <w:rPr>
            <w:sz w:val="18"/>
            <w:szCs w:val="18"/>
          </w:rPr>
          <w:t xml:space="preserve"> of </w:t>
        </w:r>
        <w:r w:rsidRPr="00AC707D">
          <w:rPr>
            <w:b/>
            <w:bCs/>
            <w:sz w:val="18"/>
            <w:szCs w:val="18"/>
          </w:rPr>
          <w:fldChar w:fldCharType="begin"/>
        </w:r>
        <w:r w:rsidRPr="00AC707D">
          <w:rPr>
            <w:b/>
            <w:bCs/>
            <w:sz w:val="18"/>
            <w:szCs w:val="18"/>
          </w:rPr>
          <w:instrText xml:space="preserve"> NUMPAGES  </w:instrText>
        </w:r>
        <w:r w:rsidRPr="00AC707D">
          <w:rPr>
            <w:b/>
            <w:bCs/>
            <w:sz w:val="18"/>
            <w:szCs w:val="18"/>
          </w:rPr>
          <w:fldChar w:fldCharType="separate"/>
        </w:r>
        <w:r w:rsidR="00E745A1">
          <w:rPr>
            <w:b/>
            <w:bCs/>
            <w:noProof/>
            <w:sz w:val="18"/>
            <w:szCs w:val="18"/>
          </w:rPr>
          <w:t>3</w:t>
        </w:r>
        <w:r w:rsidRPr="00AC707D">
          <w:rPr>
            <w:b/>
            <w:bCs/>
            <w:sz w:val="18"/>
            <w:szCs w:val="18"/>
          </w:rPr>
          <w:fldChar w:fldCharType="end"/>
        </w:r>
        <w:r w:rsidRPr="00AC707D">
          <w:rPr>
            <w:b/>
            <w:bCs/>
            <w:sz w:val="18"/>
            <w:szCs w:val="18"/>
          </w:rPr>
          <w:t xml:space="preserve"> </w:t>
        </w:r>
      </w:p>
      <w:p w14:paraId="324F1DBF" w14:textId="45F5198B" w:rsidR="00ED26C9" w:rsidRPr="004B0424" w:rsidRDefault="00313B9A" w:rsidP="00831884">
        <w:pPr>
          <w:spacing w:after="0" w:line="240" w:lineRule="auto"/>
          <w:ind w:left="58"/>
          <w:rPr>
            <w:rFonts w:ascii="Arial" w:hAnsi="Arial" w:cs="Arial"/>
            <w:sz w:val="16"/>
            <w:szCs w:val="16"/>
          </w:rPr>
        </w:pPr>
        <w:r w:rsidRPr="004B0424">
          <w:rPr>
            <w:rFonts w:ascii="Arial" w:hAnsi="Arial" w:cs="Arial"/>
            <w:sz w:val="16"/>
            <w:szCs w:val="16"/>
          </w:rPr>
          <w:t>Location:</w:t>
        </w:r>
        <w:r w:rsidRPr="004B0424">
          <w:rPr>
            <w:rFonts w:ascii="Arial" w:hAnsi="Arial" w:cs="Arial"/>
            <w:b/>
            <w:sz w:val="16"/>
            <w:szCs w:val="16"/>
          </w:rPr>
          <w:t xml:space="preserve"> </w:t>
        </w:r>
        <w:r w:rsidR="005C7E21" w:rsidRPr="004B0424">
          <w:rPr>
            <w:rFonts w:ascii="Arial" w:hAnsi="Arial" w:cs="Arial"/>
            <w:noProof/>
            <w:sz w:val="16"/>
            <w:szCs w:val="16"/>
          </w:rPr>
          <w:t xml:space="preserve">Share (K:) &gt; DEANS&gt; Share&gt; </w:t>
        </w:r>
        <w:r w:rsidR="00804CCF" w:rsidRPr="004B0424">
          <w:rPr>
            <w:rFonts w:ascii="Arial" w:hAnsi="Arial" w:cs="Arial"/>
            <w:noProof/>
            <w:sz w:val="16"/>
            <w:szCs w:val="16"/>
          </w:rPr>
          <w:t>&gt;Human Resources&gt;</w:t>
        </w:r>
        <w:r w:rsidR="005C7E21" w:rsidRPr="004B0424">
          <w:rPr>
            <w:rFonts w:ascii="Arial" w:hAnsi="Arial" w:cs="Arial"/>
            <w:noProof/>
            <w:sz w:val="16"/>
            <w:szCs w:val="16"/>
          </w:rPr>
          <w:t>HR Recruitment Process&gt;</w:t>
        </w:r>
        <w:r w:rsidR="00AC707D" w:rsidRPr="004B0424">
          <w:rPr>
            <w:rFonts w:ascii="Arial" w:hAnsi="Arial" w:cs="Arial"/>
            <w:noProof/>
            <w:sz w:val="16"/>
            <w:szCs w:val="16"/>
          </w:rPr>
          <w:t xml:space="preserve">Faculty </w:t>
        </w:r>
        <w:r w:rsidR="004B0424" w:rsidRPr="004B0424">
          <w:rPr>
            <w:rFonts w:ascii="Arial" w:hAnsi="Arial" w:cs="Arial"/>
            <w:sz w:val="16"/>
            <w:szCs w:val="16"/>
          </w:rPr>
          <w:t>Tenure Upon Appointment Process</w:t>
        </w:r>
        <w:r w:rsidR="00831884" w:rsidRPr="004B0424">
          <w:rPr>
            <w:rFonts w:ascii="Arial" w:hAnsi="Arial" w:cs="Arial"/>
            <w:sz w:val="16"/>
            <w:szCs w:val="16"/>
          </w:rPr>
          <w:t xml:space="preserve">.  </w:t>
        </w:r>
        <w:r w:rsidR="00804CCF" w:rsidRPr="004B0424">
          <w:rPr>
            <w:rFonts w:ascii="Arial" w:hAnsi="Arial" w:cs="Arial"/>
            <w:sz w:val="16"/>
            <w:szCs w:val="16"/>
          </w:rPr>
          <w:t xml:space="preserve">Updated </w:t>
        </w:r>
        <w:r w:rsidR="006C01DA">
          <w:rPr>
            <w:rFonts w:ascii="Arial" w:hAnsi="Arial" w:cs="Arial"/>
            <w:sz w:val="16"/>
            <w:szCs w:val="16"/>
          </w:rPr>
          <w:t>3/5/2020</w:t>
        </w:r>
      </w:p>
      <w:p w14:paraId="2034F198" w14:textId="77777777" w:rsidR="00313B9A" w:rsidRPr="00AC707D" w:rsidRDefault="005D1616">
        <w:pPr>
          <w:pStyle w:val="Header"/>
          <w:rPr>
            <w:sz w:val="18"/>
            <w:szCs w:val="18"/>
          </w:rPr>
        </w:pPr>
      </w:p>
    </w:sdtContent>
  </w:sdt>
  <w:p w14:paraId="2A251974" w14:textId="77777777" w:rsidR="00313B9A" w:rsidRDefault="00313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71C2C"/>
    <w:multiLevelType w:val="hybridMultilevel"/>
    <w:tmpl w:val="D53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F2188"/>
    <w:multiLevelType w:val="hybridMultilevel"/>
    <w:tmpl w:val="4F96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C2B16"/>
    <w:multiLevelType w:val="hybridMultilevel"/>
    <w:tmpl w:val="71149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147BF"/>
    <w:multiLevelType w:val="multilevel"/>
    <w:tmpl w:val="28E2B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3A590B"/>
    <w:multiLevelType w:val="hybridMultilevel"/>
    <w:tmpl w:val="96D0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C4FA4"/>
    <w:multiLevelType w:val="hybridMultilevel"/>
    <w:tmpl w:val="97787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922AF"/>
    <w:multiLevelType w:val="hybridMultilevel"/>
    <w:tmpl w:val="92DC91AA"/>
    <w:lvl w:ilvl="0" w:tplc="AA8AD9A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17AA8"/>
    <w:multiLevelType w:val="hybridMultilevel"/>
    <w:tmpl w:val="A1ACF16C"/>
    <w:lvl w:ilvl="0" w:tplc="0409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8" w15:restartNumberingAfterBreak="0">
    <w:nsid w:val="4C4952C3"/>
    <w:multiLevelType w:val="hybridMultilevel"/>
    <w:tmpl w:val="1F4E6042"/>
    <w:lvl w:ilvl="0" w:tplc="B1020C52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9" w15:restartNumberingAfterBreak="0">
    <w:nsid w:val="5C3940C1"/>
    <w:multiLevelType w:val="multilevel"/>
    <w:tmpl w:val="182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C75EAE"/>
    <w:multiLevelType w:val="multilevel"/>
    <w:tmpl w:val="182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2B5FA8"/>
    <w:multiLevelType w:val="hybridMultilevel"/>
    <w:tmpl w:val="E6249CCC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1EC29C3"/>
    <w:multiLevelType w:val="hybridMultilevel"/>
    <w:tmpl w:val="9AF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4A08"/>
    <w:multiLevelType w:val="hybridMultilevel"/>
    <w:tmpl w:val="A5C4D8DE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 w15:restartNumberingAfterBreak="0">
    <w:nsid w:val="7BFB2D9A"/>
    <w:multiLevelType w:val="hybridMultilevel"/>
    <w:tmpl w:val="6114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2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F5C"/>
    <w:rsid w:val="0005234C"/>
    <w:rsid w:val="00087A0E"/>
    <w:rsid w:val="000B44D0"/>
    <w:rsid w:val="000C0649"/>
    <w:rsid w:val="000D23F6"/>
    <w:rsid w:val="000E077C"/>
    <w:rsid w:val="000E76D4"/>
    <w:rsid w:val="000F65C8"/>
    <w:rsid w:val="00105C6A"/>
    <w:rsid w:val="001216CC"/>
    <w:rsid w:val="00131042"/>
    <w:rsid w:val="00144132"/>
    <w:rsid w:val="00163AA8"/>
    <w:rsid w:val="0016486C"/>
    <w:rsid w:val="001B70D5"/>
    <w:rsid w:val="001D6114"/>
    <w:rsid w:val="00227C50"/>
    <w:rsid w:val="00234668"/>
    <w:rsid w:val="00235210"/>
    <w:rsid w:val="00280CB7"/>
    <w:rsid w:val="002B142B"/>
    <w:rsid w:val="002E0D47"/>
    <w:rsid w:val="00313B9A"/>
    <w:rsid w:val="0035115E"/>
    <w:rsid w:val="00362695"/>
    <w:rsid w:val="0037537F"/>
    <w:rsid w:val="003918CD"/>
    <w:rsid w:val="003A4D20"/>
    <w:rsid w:val="003C33CC"/>
    <w:rsid w:val="003E5F5C"/>
    <w:rsid w:val="00450443"/>
    <w:rsid w:val="004660E4"/>
    <w:rsid w:val="00476A65"/>
    <w:rsid w:val="00483D4F"/>
    <w:rsid w:val="004A6FAE"/>
    <w:rsid w:val="004B0424"/>
    <w:rsid w:val="004B189E"/>
    <w:rsid w:val="004C340D"/>
    <w:rsid w:val="004E410F"/>
    <w:rsid w:val="004E78AE"/>
    <w:rsid w:val="0050752A"/>
    <w:rsid w:val="00523D8C"/>
    <w:rsid w:val="00553F47"/>
    <w:rsid w:val="005654A2"/>
    <w:rsid w:val="00577E3F"/>
    <w:rsid w:val="00587538"/>
    <w:rsid w:val="00593929"/>
    <w:rsid w:val="005B4709"/>
    <w:rsid w:val="005C368D"/>
    <w:rsid w:val="005C7E21"/>
    <w:rsid w:val="005D1616"/>
    <w:rsid w:val="0063240F"/>
    <w:rsid w:val="006660D0"/>
    <w:rsid w:val="006752AD"/>
    <w:rsid w:val="0068296A"/>
    <w:rsid w:val="00692CA4"/>
    <w:rsid w:val="006C01DA"/>
    <w:rsid w:val="006C5D98"/>
    <w:rsid w:val="006D19E4"/>
    <w:rsid w:val="006D2EA7"/>
    <w:rsid w:val="00762130"/>
    <w:rsid w:val="00772584"/>
    <w:rsid w:val="007816BC"/>
    <w:rsid w:val="00781E6D"/>
    <w:rsid w:val="007A5008"/>
    <w:rsid w:val="007C66FC"/>
    <w:rsid w:val="00804CCF"/>
    <w:rsid w:val="00822F65"/>
    <w:rsid w:val="00831884"/>
    <w:rsid w:val="00834804"/>
    <w:rsid w:val="00841AE8"/>
    <w:rsid w:val="008708E7"/>
    <w:rsid w:val="00882F7D"/>
    <w:rsid w:val="00896660"/>
    <w:rsid w:val="00897E3C"/>
    <w:rsid w:val="008A4156"/>
    <w:rsid w:val="00902946"/>
    <w:rsid w:val="00984A6A"/>
    <w:rsid w:val="009879C5"/>
    <w:rsid w:val="00992DE3"/>
    <w:rsid w:val="009C6462"/>
    <w:rsid w:val="009E6A86"/>
    <w:rsid w:val="00A13D54"/>
    <w:rsid w:val="00A13F8C"/>
    <w:rsid w:val="00A17A61"/>
    <w:rsid w:val="00A8062D"/>
    <w:rsid w:val="00AB711C"/>
    <w:rsid w:val="00AC42C2"/>
    <w:rsid w:val="00AC707D"/>
    <w:rsid w:val="00AD298B"/>
    <w:rsid w:val="00B07C2A"/>
    <w:rsid w:val="00B219E0"/>
    <w:rsid w:val="00B563B9"/>
    <w:rsid w:val="00B642D6"/>
    <w:rsid w:val="00B95C12"/>
    <w:rsid w:val="00BA36B6"/>
    <w:rsid w:val="00BA71A6"/>
    <w:rsid w:val="00BC3537"/>
    <w:rsid w:val="00BC57DB"/>
    <w:rsid w:val="00BD185E"/>
    <w:rsid w:val="00BD3CD9"/>
    <w:rsid w:val="00BF5057"/>
    <w:rsid w:val="00C1348E"/>
    <w:rsid w:val="00C46F2F"/>
    <w:rsid w:val="00C65DBF"/>
    <w:rsid w:val="00CC4A31"/>
    <w:rsid w:val="00D10325"/>
    <w:rsid w:val="00D20623"/>
    <w:rsid w:val="00D429B2"/>
    <w:rsid w:val="00DA7825"/>
    <w:rsid w:val="00DB29CD"/>
    <w:rsid w:val="00DC664F"/>
    <w:rsid w:val="00DD72BE"/>
    <w:rsid w:val="00DE174F"/>
    <w:rsid w:val="00E1696C"/>
    <w:rsid w:val="00E30D80"/>
    <w:rsid w:val="00E358BE"/>
    <w:rsid w:val="00E745A1"/>
    <w:rsid w:val="00E7767B"/>
    <w:rsid w:val="00E962F1"/>
    <w:rsid w:val="00EC37B2"/>
    <w:rsid w:val="00ED26C9"/>
    <w:rsid w:val="00EE3A86"/>
    <w:rsid w:val="00F05A44"/>
    <w:rsid w:val="00F20DBE"/>
    <w:rsid w:val="00F47487"/>
    <w:rsid w:val="00F67AFB"/>
    <w:rsid w:val="00F840E0"/>
    <w:rsid w:val="00F97B02"/>
    <w:rsid w:val="00FC5AC6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0D55737"/>
  <w15:chartTrackingRefBased/>
  <w15:docId w15:val="{898695DD-AFBF-4460-AAE8-A72A679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3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B9A"/>
  </w:style>
  <w:style w:type="paragraph" w:styleId="Footer">
    <w:name w:val="footer"/>
    <w:basedOn w:val="Normal"/>
    <w:link w:val="FooterChar"/>
    <w:uiPriority w:val="99"/>
    <w:unhideWhenUsed/>
    <w:rsid w:val="00313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B9A"/>
  </w:style>
  <w:style w:type="character" w:customStyle="1" w:styleId="pseditboxdisponly1">
    <w:name w:val="pseditbox_disponly1"/>
    <w:basedOn w:val="DefaultParagraphFont"/>
    <w:rsid w:val="00C1348E"/>
    <w:rPr>
      <w:rFonts w:ascii="Arial" w:hAnsi="Arial" w:cs="Arial" w:hint="default"/>
      <w:b w:val="0"/>
      <w:bCs w:val="0"/>
      <w:i w:val="0"/>
      <w:iCs w:val="0"/>
      <w:color w:val="515151"/>
      <w:bdr w:val="none" w:sz="0" w:space="0" w:color="auto" w:frame="1"/>
    </w:rPr>
  </w:style>
  <w:style w:type="paragraph" w:styleId="NoSpacing">
    <w:name w:val="No Spacing"/>
    <w:uiPriority w:val="1"/>
    <w:qFormat/>
    <w:rsid w:val="00E30D8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708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.ufl.edu/media/aaufledu/tenure-and-promotion/Approved-TP-Guidelines-2019-20-.pdf" TargetMode="External"/><Relationship Id="rId13" Type="http://schemas.openxmlformats.org/officeDocument/2006/relationships/hyperlink" Target="http://www.aa.ufl.edu/ten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a.ufl.edu/policies/tenure-and-promotion-information/" TargetMode="External"/><Relationship Id="rId12" Type="http://schemas.openxmlformats.org/officeDocument/2006/relationships/hyperlink" Target="http://aa.ufl.edu/media/aaufledu/tenure-and-promotion/Approved-TP-Guidelines-2019-20-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rustees.ufl.ed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holt@aa.ufl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.ufl.edu/media/aaufledu/tenure-and-promotion/Highlighted-changes-for-2019-2020.pdf" TargetMode="External"/><Relationship Id="rId14" Type="http://schemas.openxmlformats.org/officeDocument/2006/relationships/hyperlink" Target="http://trustees.ufl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807</Words>
  <Characters>4392</Characters>
  <Application>Microsoft Office Word</Application>
  <DocSecurity>0</DocSecurity>
  <Lines>209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Midget, SiseneG</dc:creator>
  <cp:keywords/>
  <dc:description/>
  <cp:lastModifiedBy>Midget,SiseneG</cp:lastModifiedBy>
  <cp:revision>21</cp:revision>
  <cp:lastPrinted>2017-11-15T15:30:00Z</cp:lastPrinted>
  <dcterms:created xsi:type="dcterms:W3CDTF">2019-04-16T14:18:00Z</dcterms:created>
  <dcterms:modified xsi:type="dcterms:W3CDTF">2020-03-05T15:16:00Z</dcterms:modified>
</cp:coreProperties>
</file>