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AA" w:rsidRDefault="00003411" w:rsidP="00D745AA">
      <w:pPr>
        <w:rPr>
          <w:b/>
          <w:color w:val="2F5496" w:themeColor="accent5" w:themeShade="BF"/>
          <w:sz w:val="32"/>
        </w:rPr>
      </w:pPr>
      <w:bookmarkStart w:id="0" w:name="_GoBack"/>
      <w:bookmarkEnd w:id="0"/>
      <w:r w:rsidRPr="0093457A">
        <w:rPr>
          <w:b/>
          <w:noProof/>
          <w:sz w:val="32"/>
        </w:rPr>
        <w:drawing>
          <wp:anchor distT="0" distB="0" distL="114300" distR="114300" simplePos="0" relativeHeight="251659264" behindDoc="0" locked="0" layoutInCell="1" allowOverlap="1" wp14:anchorId="4C79C3BC" wp14:editId="7656F2CA">
            <wp:simplePos x="0" y="0"/>
            <wp:positionH relativeFrom="margin">
              <wp:align>right</wp:align>
            </wp:positionH>
            <wp:positionV relativeFrom="margin">
              <wp:posOffset>-107950</wp:posOffset>
            </wp:positionV>
            <wp:extent cx="257175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71750" cy="752475"/>
                    </a:xfrm>
                    <a:prstGeom prst="rect">
                      <a:avLst/>
                    </a:prstGeom>
                  </pic:spPr>
                </pic:pic>
              </a:graphicData>
            </a:graphic>
          </wp:anchor>
        </w:drawing>
      </w:r>
    </w:p>
    <w:p w:rsidR="00D745AA" w:rsidRDefault="00D745AA" w:rsidP="00D745AA">
      <w:pPr>
        <w:rPr>
          <w:b/>
          <w:sz w:val="32"/>
        </w:rPr>
      </w:pPr>
      <w:r w:rsidRPr="007303E1">
        <w:rPr>
          <w:b/>
          <w:noProof/>
          <w:color w:val="2F5496" w:themeColor="accent5" w:themeShade="BF"/>
          <w:sz w:val="32"/>
        </w:rPr>
        <mc:AlternateContent>
          <mc:Choice Requires="wps">
            <w:drawing>
              <wp:anchor distT="0" distB="0" distL="114300" distR="114300" simplePos="0" relativeHeight="251661312" behindDoc="0" locked="0" layoutInCell="1" allowOverlap="1" wp14:anchorId="17F1844F" wp14:editId="276D76B9">
                <wp:simplePos x="0" y="0"/>
                <wp:positionH relativeFrom="margin">
                  <wp:align>left</wp:align>
                </wp:positionH>
                <wp:positionV relativeFrom="paragraph">
                  <wp:posOffset>355600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94F68"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" strokecolor="#ed7d31 [3205]" strokeweight="1.5pt">
                <v:stroke joinstyle="miter"/>
                <w10:wrap anchorx="margin"/>
              </v:line>
            </w:pict>
          </mc:Fallback>
        </mc:AlternateContent>
      </w:r>
      <w:r w:rsidR="005105F1">
        <w:rPr>
          <w:b/>
          <w:color w:val="2F5496" w:themeColor="accent5" w:themeShade="BF"/>
          <w:sz w:val="32"/>
        </w:rPr>
        <w:t>F&amp;A Rates</w:t>
      </w:r>
    </w:p>
    <w:p w:rsidR="005105F1" w:rsidRPr="005105F1" w:rsidRDefault="005105F1" w:rsidP="005105F1">
      <w:pPr>
        <w:shd w:val="clear" w:color="auto" w:fill="FFFFFF"/>
        <w:spacing w:before="100" w:beforeAutospacing="1" w:after="300" w:line="240" w:lineRule="auto"/>
        <w:rPr>
          <w:rFonts w:eastAsia="Times New Roman" w:cstheme="minorHAnsi"/>
          <w:color w:val="000000"/>
          <w:sz w:val="24"/>
          <w:szCs w:val="24"/>
        </w:rPr>
      </w:pPr>
      <w:r w:rsidRPr="005105F1">
        <w:rPr>
          <w:rFonts w:eastAsia="Times New Roman" w:cstheme="minorHAnsi"/>
          <w:color w:val="000000"/>
          <w:sz w:val="24"/>
          <w:szCs w:val="24"/>
        </w:rPr>
        <w:t>Project budgets should include all costs required to accomplish the objectives in the proposal or agreement. These costs are itemized as either:</w:t>
      </w:r>
    </w:p>
    <w:p w:rsidR="005105F1" w:rsidRPr="005105F1" w:rsidRDefault="005105F1" w:rsidP="005105F1">
      <w:pPr>
        <w:numPr>
          <w:ilvl w:val="0"/>
          <w:numId w:val="1"/>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Direct costs (salary, fringe benefits, supplies, travel, etc.)</w:t>
      </w:r>
    </w:p>
    <w:p w:rsidR="005105F1" w:rsidRPr="005105F1" w:rsidRDefault="005105F1" w:rsidP="005105F1">
      <w:pPr>
        <w:numPr>
          <w:ilvl w:val="0"/>
          <w:numId w:val="1"/>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Facilities and Administrative (F&amp;A) costs incurred for sponsored programs administration and compliance, purchasing, accounting, library services, and building custodial services, depreciation, and utilities.</w:t>
      </w:r>
    </w:p>
    <w:p w:rsidR="005105F1" w:rsidRPr="00003411" w:rsidRDefault="005105F1" w:rsidP="00003411">
      <w:pPr>
        <w:shd w:val="clear" w:color="auto" w:fill="FFFFFF"/>
        <w:spacing w:before="100" w:beforeAutospacing="1" w:line="240" w:lineRule="auto"/>
        <w:rPr>
          <w:rFonts w:eastAsia="Times New Roman" w:cstheme="minorHAnsi"/>
          <w:color w:val="000000"/>
          <w:sz w:val="24"/>
          <w:szCs w:val="24"/>
        </w:rPr>
      </w:pPr>
      <w:r w:rsidRPr="005105F1">
        <w:rPr>
          <w:rFonts w:eastAsia="Times New Roman" w:cstheme="minorHAnsi"/>
          <w:color w:val="000000"/>
          <w:sz w:val="24"/>
          <w:szCs w:val="24"/>
        </w:rPr>
        <w:t>F&amp;A costs cannot easily be allocated to individual projects, therefore sponsors require that they are budgeted and collected as a percentage of a project’s direct cost. When developing a contract or grant budget, use the appropriate rate below.</w:t>
      </w:r>
    </w:p>
    <w:p w:rsidR="005105F1" w:rsidRDefault="005105F1" w:rsidP="005105F1">
      <w:pPr>
        <w:shd w:val="clear" w:color="auto" w:fill="FFFFFF"/>
        <w:spacing w:before="100" w:beforeAutospacing="1" w:after="300"/>
        <w:rPr>
          <w:rFonts w:ascii="Arial" w:eastAsia="Times New Roman" w:hAnsi="Arial" w:cs="Arial"/>
          <w:b/>
          <w:bCs/>
          <w:color w:val="000000"/>
          <w:sz w:val="24"/>
          <w:szCs w:val="24"/>
        </w:rPr>
      </w:pPr>
      <w:r w:rsidRPr="005105F1">
        <w:rPr>
          <w:noProof/>
        </w:rPr>
        <w:drawing>
          <wp:inline distT="0" distB="0" distL="0" distR="0" wp14:anchorId="13568A02" wp14:editId="24A4B145">
            <wp:extent cx="6858000" cy="4646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chemeClr val="accent2">
                          <a:tint val="45000"/>
                          <a:satMod val="400000"/>
                        </a:schemeClr>
                      </a:duotone>
                    </a:blip>
                    <a:stretch>
                      <a:fillRect/>
                    </a:stretch>
                  </pic:blipFill>
                  <pic:spPr>
                    <a:xfrm>
                      <a:off x="0" y="0"/>
                      <a:ext cx="6858000" cy="4646930"/>
                    </a:xfrm>
                    <a:prstGeom prst="rect">
                      <a:avLst/>
                    </a:prstGeom>
                  </pic:spPr>
                </pic:pic>
              </a:graphicData>
            </a:graphic>
          </wp:inline>
        </w:drawing>
      </w:r>
    </w:p>
    <w:p w:rsidR="00003411" w:rsidRDefault="00003411" w:rsidP="005105F1">
      <w:pPr>
        <w:shd w:val="clear" w:color="auto" w:fill="FFFFFF"/>
        <w:spacing w:before="100" w:beforeAutospacing="1" w:after="300"/>
        <w:rPr>
          <w:rFonts w:eastAsia="Times New Roman" w:cstheme="minorHAnsi"/>
          <w:b/>
          <w:bCs/>
          <w:color w:val="000000"/>
          <w:sz w:val="24"/>
          <w:szCs w:val="24"/>
        </w:rPr>
      </w:pPr>
    </w:p>
    <w:p w:rsidR="00003411" w:rsidRDefault="00003411" w:rsidP="005105F1">
      <w:pPr>
        <w:shd w:val="clear" w:color="auto" w:fill="FFFFFF"/>
        <w:spacing w:before="100" w:beforeAutospacing="1" w:after="300"/>
        <w:rPr>
          <w:rFonts w:eastAsia="Times New Roman" w:cstheme="minorHAnsi"/>
          <w:b/>
          <w:bCs/>
          <w:color w:val="000000"/>
          <w:sz w:val="24"/>
          <w:szCs w:val="24"/>
        </w:rPr>
      </w:pPr>
    </w:p>
    <w:p w:rsidR="00003411" w:rsidRDefault="00003411" w:rsidP="005105F1">
      <w:pPr>
        <w:shd w:val="clear" w:color="auto" w:fill="FFFFFF"/>
        <w:spacing w:before="100" w:beforeAutospacing="1" w:after="300"/>
        <w:rPr>
          <w:rFonts w:eastAsia="Times New Roman" w:cstheme="minorHAnsi"/>
          <w:b/>
          <w:bCs/>
          <w:color w:val="000000"/>
          <w:sz w:val="24"/>
          <w:szCs w:val="24"/>
        </w:rPr>
      </w:pPr>
    </w:p>
    <w:p w:rsidR="005105F1" w:rsidRPr="00003411" w:rsidRDefault="005105F1" w:rsidP="005105F1">
      <w:pPr>
        <w:shd w:val="clear" w:color="auto" w:fill="FFFFFF"/>
        <w:spacing w:before="100" w:beforeAutospacing="1" w:after="300"/>
        <w:rPr>
          <w:rFonts w:eastAsia="Times New Roman" w:cstheme="minorHAnsi"/>
          <w:b/>
          <w:bCs/>
          <w:color w:val="000000"/>
          <w:sz w:val="24"/>
          <w:szCs w:val="24"/>
        </w:rPr>
      </w:pPr>
      <w:r w:rsidRPr="00003411">
        <w:rPr>
          <w:rFonts w:eastAsia="Times New Roman" w:cstheme="minorHAnsi"/>
          <w:b/>
          <w:bCs/>
          <w:color w:val="000000"/>
          <w:sz w:val="24"/>
          <w:szCs w:val="24"/>
        </w:rPr>
        <w:t>F&amp;A Bases (MTDC&amp; TDC)</w:t>
      </w:r>
    </w:p>
    <w:p w:rsidR="005105F1" w:rsidRPr="00003411" w:rsidRDefault="005105F1" w:rsidP="005105F1">
      <w:pPr>
        <w:shd w:val="clear" w:color="auto" w:fill="FFFFFF"/>
        <w:spacing w:before="100" w:beforeAutospacing="1" w:after="300"/>
        <w:rPr>
          <w:rFonts w:eastAsia="Times New Roman" w:cstheme="minorHAnsi"/>
          <w:color w:val="000000"/>
          <w:sz w:val="24"/>
          <w:szCs w:val="24"/>
        </w:rPr>
      </w:pPr>
      <w:r w:rsidRPr="00003411">
        <w:rPr>
          <w:rFonts w:eastAsia="Times New Roman" w:cstheme="minorHAnsi"/>
          <w:b/>
          <w:bCs/>
          <w:color w:val="000000"/>
          <w:sz w:val="24"/>
          <w:szCs w:val="24"/>
        </w:rPr>
        <w:t>Base:</w:t>
      </w:r>
      <w:r w:rsidRPr="00003411">
        <w:rPr>
          <w:rFonts w:eastAsia="Times New Roman" w:cstheme="minorHAnsi"/>
          <w:color w:val="000000"/>
          <w:sz w:val="24"/>
          <w:szCs w:val="24"/>
        </w:rPr>
        <w:t xml:space="preserve"> The F&amp;A rate is applied to a base of direct costs in order to determine the F&amp;A cost which can be calculated in one of the following ways:</w:t>
      </w:r>
    </w:p>
    <w:p w:rsidR="005105F1" w:rsidRPr="005105F1" w:rsidRDefault="005105F1" w:rsidP="005105F1">
      <w:pPr>
        <w:numPr>
          <w:ilvl w:val="0"/>
          <w:numId w:val="2"/>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TDC base = Total Direct Costs. All direct costs are included. There are no exclusions or modifiers. F&amp;A cost = TDC base x F&amp;A rate.</w:t>
      </w:r>
    </w:p>
    <w:p w:rsidR="005105F1" w:rsidRPr="005105F1" w:rsidRDefault="005105F1" w:rsidP="005105F1">
      <w:pPr>
        <w:numPr>
          <w:ilvl w:val="0"/>
          <w:numId w:val="2"/>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 xml:space="preserve">MTDC base = Modified Total Direct Costs. TDC minus equipment, patient care, tuition, participant support costs, rental costs of off-site facilities, scholarships, fellowships, and the portion of each </w:t>
      </w:r>
      <w:proofErr w:type="spellStart"/>
      <w:r w:rsidRPr="005105F1">
        <w:rPr>
          <w:rFonts w:eastAsia="Times New Roman" w:cstheme="minorHAnsi"/>
          <w:color w:val="000000"/>
          <w:sz w:val="24"/>
          <w:szCs w:val="24"/>
        </w:rPr>
        <w:t>subaward</w:t>
      </w:r>
      <w:proofErr w:type="spellEnd"/>
      <w:r w:rsidRPr="005105F1">
        <w:rPr>
          <w:rFonts w:eastAsia="Times New Roman" w:cstheme="minorHAnsi"/>
          <w:color w:val="000000"/>
          <w:sz w:val="24"/>
          <w:szCs w:val="24"/>
        </w:rPr>
        <w:t xml:space="preserve"> in excess of $25,000. F&amp;A cost = MTDC base x F&amp;A rate.</w:t>
      </w:r>
    </w:p>
    <w:p w:rsidR="005105F1" w:rsidRPr="005105F1" w:rsidRDefault="005105F1" w:rsidP="005105F1">
      <w:pPr>
        <w:numPr>
          <w:ilvl w:val="0"/>
          <w:numId w:val="2"/>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TFFA base = Total Federal Funds Awarded. For USDA or various other sponsor proposals, the F&amp;A is considered to be on the full amount of the award, which is actually calculated using TDC</w:t>
      </w:r>
    </w:p>
    <w:p w:rsidR="005105F1" w:rsidRPr="00003411" w:rsidRDefault="005105F1" w:rsidP="005105F1">
      <w:pPr>
        <w:shd w:val="clear" w:color="auto" w:fill="FFFFFF"/>
        <w:spacing w:before="100" w:beforeAutospacing="1" w:line="240" w:lineRule="auto"/>
        <w:rPr>
          <w:rFonts w:eastAsia="Times New Roman" w:cstheme="minorHAnsi"/>
          <w:color w:val="000000"/>
          <w:sz w:val="24"/>
          <w:szCs w:val="24"/>
        </w:rPr>
      </w:pPr>
      <w:r w:rsidRPr="005105F1">
        <w:rPr>
          <w:rFonts w:eastAsia="Times New Roman" w:cstheme="minorHAnsi"/>
          <w:color w:val="000000"/>
          <w:sz w:val="24"/>
          <w:szCs w:val="24"/>
        </w:rPr>
        <w:t>If the solicitation specifies a rate other than the federally negotiated rate, unless otherwise indicated TDC should be used as the F&amp;A base.</w:t>
      </w:r>
    </w:p>
    <w:p w:rsidR="005105F1" w:rsidRPr="00003411" w:rsidRDefault="005105F1" w:rsidP="005105F1">
      <w:pPr>
        <w:shd w:val="clear" w:color="auto" w:fill="FFFFFF"/>
        <w:spacing w:before="100" w:beforeAutospacing="1" w:line="240" w:lineRule="auto"/>
        <w:rPr>
          <w:rFonts w:cstheme="minorHAnsi"/>
          <w:color w:val="000000"/>
          <w:sz w:val="24"/>
          <w:szCs w:val="24"/>
        </w:rPr>
      </w:pPr>
      <w:r w:rsidRPr="00003411">
        <w:rPr>
          <w:rFonts w:cstheme="minorHAnsi"/>
          <w:b/>
          <w:bCs/>
          <w:color w:val="000000"/>
          <w:sz w:val="24"/>
          <w:szCs w:val="24"/>
        </w:rPr>
        <w:t xml:space="preserve">Other Sponsored Activity (OSA): </w:t>
      </w:r>
      <w:r w:rsidRPr="00003411">
        <w:rPr>
          <w:rFonts w:cstheme="minorHAnsi"/>
          <w:color w:val="000000"/>
          <w:sz w:val="24"/>
          <w:szCs w:val="24"/>
        </w:rPr>
        <w:t xml:space="preserve">According to 2 CFR 200, Appendix III, Section A.1.c, Other Sponsored Activity means “programs and projects financed by federal and non-federal agencies and organizations which involve the performance of work other than instruction and organized research.” At UF, this includes, but is not limited to IFAS Extension Activities, IFAS SPAs, and some </w:t>
      </w:r>
      <w:hyperlink r:id="rId9" w:history="1">
        <w:r w:rsidRPr="00003411">
          <w:rPr>
            <w:rFonts w:cstheme="minorHAnsi"/>
            <w:color w:val="005496"/>
            <w:sz w:val="24"/>
            <w:szCs w:val="24"/>
            <w:u w:val="single"/>
          </w:rPr>
          <w:t>Federal Clinical Trials</w:t>
        </w:r>
      </w:hyperlink>
      <w:r w:rsidRPr="00003411">
        <w:rPr>
          <w:rFonts w:cstheme="minorHAnsi"/>
          <w:color w:val="000000"/>
          <w:sz w:val="24"/>
          <w:szCs w:val="24"/>
        </w:rPr>
        <w:t xml:space="preserve">. Visit </w:t>
      </w:r>
      <w:hyperlink r:id="rId10" w:history="1">
        <w:r w:rsidRPr="00003411">
          <w:rPr>
            <w:rFonts w:cstheme="minorHAnsi"/>
            <w:color w:val="005496"/>
            <w:sz w:val="24"/>
            <w:szCs w:val="24"/>
            <w:u w:val="single"/>
          </w:rPr>
          <w:t>Other Sponsored Activities</w:t>
        </w:r>
      </w:hyperlink>
      <w:r w:rsidRPr="00003411">
        <w:rPr>
          <w:rFonts w:cstheme="minorHAnsi"/>
          <w:color w:val="000000"/>
          <w:sz w:val="24"/>
          <w:szCs w:val="24"/>
        </w:rPr>
        <w:t xml:space="preserve"> for further clarification and examples.</w:t>
      </w:r>
    </w:p>
    <w:p w:rsidR="005105F1" w:rsidRPr="005105F1" w:rsidRDefault="005105F1" w:rsidP="005105F1">
      <w:pPr>
        <w:shd w:val="clear" w:color="auto" w:fill="FFFFFF"/>
        <w:spacing w:before="100" w:beforeAutospacing="1" w:after="300" w:line="240" w:lineRule="auto"/>
        <w:rPr>
          <w:rFonts w:eastAsia="Times New Roman" w:cstheme="minorHAnsi"/>
          <w:color w:val="000000"/>
          <w:sz w:val="24"/>
          <w:szCs w:val="24"/>
        </w:rPr>
      </w:pPr>
      <w:r w:rsidRPr="005105F1">
        <w:rPr>
          <w:rFonts w:eastAsia="Times New Roman" w:cstheme="minorHAnsi"/>
          <w:color w:val="000000"/>
          <w:sz w:val="24"/>
          <w:szCs w:val="24"/>
        </w:rPr>
        <w:t>Other Sponsored Activities includes programs and projects that involve the performance of work other than instruction and organized research. This includes:</w:t>
      </w:r>
    </w:p>
    <w:p w:rsidR="005105F1" w:rsidRPr="005105F1" w:rsidRDefault="005105F1" w:rsidP="005105F1">
      <w:pPr>
        <w:numPr>
          <w:ilvl w:val="0"/>
          <w:numId w:val="3"/>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Public service projects, such as sponsored health and/or community service projects, legal clinics and public information services</w:t>
      </w:r>
    </w:p>
    <w:p w:rsidR="005105F1" w:rsidRPr="005105F1" w:rsidRDefault="005105F1" w:rsidP="005105F1">
      <w:pPr>
        <w:numPr>
          <w:ilvl w:val="0"/>
          <w:numId w:val="3"/>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Symposia, workshops, seminars and conferences that DO NOT meet guidelines for instruction, research training, or research</w:t>
      </w:r>
    </w:p>
    <w:p w:rsidR="005105F1" w:rsidRPr="005105F1" w:rsidRDefault="005105F1" w:rsidP="005105F1">
      <w:pPr>
        <w:numPr>
          <w:ilvl w:val="0"/>
          <w:numId w:val="3"/>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Support for public events</w:t>
      </w:r>
    </w:p>
    <w:p w:rsidR="005105F1" w:rsidRPr="005105F1" w:rsidRDefault="005105F1" w:rsidP="005105F1">
      <w:pPr>
        <w:numPr>
          <w:ilvl w:val="0"/>
          <w:numId w:val="3"/>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Extension services</w:t>
      </w:r>
    </w:p>
    <w:p w:rsidR="005105F1" w:rsidRPr="005105F1" w:rsidRDefault="005105F1" w:rsidP="005105F1">
      <w:pPr>
        <w:numPr>
          <w:ilvl w:val="0"/>
          <w:numId w:val="3"/>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Field trials for community members and the public that DO NOT meet guidelines for sponsored research.</w:t>
      </w:r>
    </w:p>
    <w:p w:rsidR="005105F1" w:rsidRPr="005105F1" w:rsidRDefault="005105F1" w:rsidP="005105F1">
      <w:pPr>
        <w:numPr>
          <w:ilvl w:val="0"/>
          <w:numId w:val="3"/>
        </w:numPr>
        <w:shd w:val="clear" w:color="auto" w:fill="FFFFFF"/>
        <w:spacing w:before="100" w:beforeAutospacing="1" w:after="100" w:afterAutospacing="1" w:line="240" w:lineRule="auto"/>
        <w:ind w:left="675"/>
        <w:rPr>
          <w:rFonts w:eastAsia="Times New Roman" w:cstheme="minorHAnsi"/>
          <w:color w:val="000000"/>
          <w:sz w:val="24"/>
          <w:szCs w:val="24"/>
        </w:rPr>
      </w:pPr>
      <w:r w:rsidRPr="005105F1">
        <w:rPr>
          <w:rFonts w:eastAsia="Times New Roman" w:cstheme="minorHAnsi"/>
          <w:color w:val="000000"/>
          <w:sz w:val="24"/>
          <w:szCs w:val="24"/>
        </w:rPr>
        <w:t>Contracts where a unit provides a routine service as part of its normal business operations (</w:t>
      </w:r>
      <w:proofErr w:type="gramStart"/>
      <w:r w:rsidRPr="005105F1">
        <w:rPr>
          <w:rFonts w:eastAsia="Times New Roman" w:cstheme="minorHAnsi"/>
          <w:color w:val="000000"/>
          <w:sz w:val="24"/>
          <w:szCs w:val="24"/>
        </w:rPr>
        <w:t>designed</w:t>
      </w:r>
      <w:proofErr w:type="gramEnd"/>
      <w:r w:rsidRPr="005105F1">
        <w:rPr>
          <w:rFonts w:eastAsia="Times New Roman" w:cstheme="minorHAnsi"/>
          <w:color w:val="000000"/>
          <w:sz w:val="24"/>
          <w:szCs w:val="24"/>
        </w:rPr>
        <w:t xml:space="preserve"> for auxiliaries only) and not simply for testing services.</w:t>
      </w:r>
    </w:p>
    <w:p w:rsidR="005105F1" w:rsidRPr="005105F1" w:rsidRDefault="005105F1" w:rsidP="005105F1">
      <w:pPr>
        <w:shd w:val="clear" w:color="auto" w:fill="FFFFFF"/>
        <w:spacing w:before="100" w:beforeAutospacing="1" w:line="240" w:lineRule="auto"/>
        <w:rPr>
          <w:rFonts w:ascii="Arial" w:eastAsia="Times New Roman" w:hAnsi="Arial" w:cs="Arial"/>
          <w:color w:val="000000"/>
          <w:sz w:val="24"/>
          <w:szCs w:val="24"/>
        </w:rPr>
      </w:pPr>
    </w:p>
    <w:p w:rsidR="00532657" w:rsidRDefault="00532657"/>
    <w:sectPr w:rsidR="00532657" w:rsidSect="00CE0F8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14" w:rsidRDefault="00C86514" w:rsidP="00003411">
      <w:pPr>
        <w:spacing w:after="0" w:line="240" w:lineRule="auto"/>
      </w:pPr>
      <w:r>
        <w:separator/>
      </w:r>
    </w:p>
  </w:endnote>
  <w:endnote w:type="continuationSeparator" w:id="0">
    <w:p w:rsidR="00C86514" w:rsidRDefault="00C86514" w:rsidP="0000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60367"/>
      <w:docPartObj>
        <w:docPartGallery w:val="Page Numbers (Bottom of Page)"/>
        <w:docPartUnique/>
      </w:docPartObj>
    </w:sdtPr>
    <w:sdtEndPr>
      <w:rPr>
        <w:noProof/>
      </w:rPr>
    </w:sdtEndPr>
    <w:sdtContent>
      <w:p w:rsidR="00003411" w:rsidRDefault="00003411">
        <w:pPr>
          <w:pStyle w:val="Footer"/>
          <w:jc w:val="center"/>
        </w:pPr>
        <w:r>
          <w:fldChar w:fldCharType="begin"/>
        </w:r>
        <w:r>
          <w:instrText xml:space="preserve"> PAGE   \* MERGEFORMAT </w:instrText>
        </w:r>
        <w:r>
          <w:fldChar w:fldCharType="separate"/>
        </w:r>
        <w:r w:rsidR="00CE0F8C">
          <w:rPr>
            <w:noProof/>
          </w:rPr>
          <w:t>2</w:t>
        </w:r>
        <w:r>
          <w:rPr>
            <w:noProof/>
          </w:rPr>
          <w:fldChar w:fldCharType="end"/>
        </w:r>
      </w:p>
    </w:sdtContent>
  </w:sdt>
  <w:p w:rsidR="00003411" w:rsidRDefault="0000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14" w:rsidRDefault="00C86514" w:rsidP="00003411">
      <w:pPr>
        <w:spacing w:after="0" w:line="240" w:lineRule="auto"/>
      </w:pPr>
      <w:r>
        <w:separator/>
      </w:r>
    </w:p>
  </w:footnote>
  <w:footnote w:type="continuationSeparator" w:id="0">
    <w:p w:rsidR="00C86514" w:rsidRDefault="00C86514" w:rsidP="0000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3930"/>
    <w:multiLevelType w:val="multilevel"/>
    <w:tmpl w:val="48A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56122"/>
    <w:multiLevelType w:val="multilevel"/>
    <w:tmpl w:val="3C0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B75D4"/>
    <w:multiLevelType w:val="multilevel"/>
    <w:tmpl w:val="31F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A"/>
    <w:rsid w:val="00003411"/>
    <w:rsid w:val="00213AB8"/>
    <w:rsid w:val="005105F1"/>
    <w:rsid w:val="00532657"/>
    <w:rsid w:val="00A73DC9"/>
    <w:rsid w:val="00C86514"/>
    <w:rsid w:val="00CE0F8C"/>
    <w:rsid w:val="00D7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6EE30-52A8-4EEF-B71B-4B3C22CF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11"/>
  </w:style>
  <w:style w:type="paragraph" w:styleId="Footer">
    <w:name w:val="footer"/>
    <w:basedOn w:val="Normal"/>
    <w:link w:val="FooterChar"/>
    <w:uiPriority w:val="99"/>
    <w:unhideWhenUsed/>
    <w:rsid w:val="00003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11"/>
  </w:style>
  <w:style w:type="paragraph" w:styleId="BalloonText">
    <w:name w:val="Balloon Text"/>
    <w:basedOn w:val="Normal"/>
    <w:link w:val="BalloonTextChar"/>
    <w:uiPriority w:val="99"/>
    <w:semiHidden/>
    <w:unhideWhenUsed/>
    <w:rsid w:val="00A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3774">
      <w:bodyDiv w:val="1"/>
      <w:marLeft w:val="0"/>
      <w:marRight w:val="0"/>
      <w:marTop w:val="0"/>
      <w:marBottom w:val="0"/>
      <w:divBdr>
        <w:top w:val="none" w:sz="0" w:space="0" w:color="auto"/>
        <w:left w:val="none" w:sz="0" w:space="0" w:color="auto"/>
        <w:bottom w:val="none" w:sz="0" w:space="0" w:color="auto"/>
        <w:right w:val="none" w:sz="0" w:space="0" w:color="auto"/>
      </w:divBdr>
      <w:divsChild>
        <w:div w:id="425884061">
          <w:marLeft w:val="0"/>
          <w:marRight w:val="0"/>
          <w:marTop w:val="0"/>
          <w:marBottom w:val="0"/>
          <w:divBdr>
            <w:top w:val="none" w:sz="0" w:space="0" w:color="auto"/>
            <w:left w:val="none" w:sz="0" w:space="0" w:color="auto"/>
            <w:bottom w:val="none" w:sz="0" w:space="0" w:color="auto"/>
            <w:right w:val="none" w:sz="0" w:space="0" w:color="auto"/>
          </w:divBdr>
          <w:divsChild>
            <w:div w:id="151920176">
              <w:marLeft w:val="0"/>
              <w:marRight w:val="0"/>
              <w:marTop w:val="0"/>
              <w:marBottom w:val="0"/>
              <w:divBdr>
                <w:top w:val="none" w:sz="0" w:space="0" w:color="auto"/>
                <w:left w:val="none" w:sz="0" w:space="0" w:color="auto"/>
                <w:bottom w:val="none" w:sz="0" w:space="0" w:color="auto"/>
                <w:right w:val="none" w:sz="0" w:space="0" w:color="auto"/>
              </w:divBdr>
              <w:divsChild>
                <w:div w:id="948048357">
                  <w:marLeft w:val="0"/>
                  <w:marRight w:val="0"/>
                  <w:marTop w:val="0"/>
                  <w:marBottom w:val="0"/>
                  <w:divBdr>
                    <w:top w:val="none" w:sz="0" w:space="0" w:color="auto"/>
                    <w:left w:val="none" w:sz="0" w:space="0" w:color="auto"/>
                    <w:bottom w:val="none" w:sz="0" w:space="0" w:color="auto"/>
                    <w:right w:val="none" w:sz="0" w:space="0" w:color="auto"/>
                  </w:divBdr>
                  <w:divsChild>
                    <w:div w:id="553463706">
                      <w:marLeft w:val="0"/>
                      <w:marRight w:val="0"/>
                      <w:marTop w:val="0"/>
                      <w:marBottom w:val="0"/>
                      <w:divBdr>
                        <w:top w:val="none" w:sz="0" w:space="0" w:color="auto"/>
                        <w:left w:val="none" w:sz="0" w:space="0" w:color="auto"/>
                        <w:bottom w:val="none" w:sz="0" w:space="0" w:color="auto"/>
                        <w:right w:val="none" w:sz="0" w:space="0" w:color="auto"/>
                      </w:divBdr>
                      <w:divsChild>
                        <w:div w:id="235211564">
                          <w:marLeft w:val="0"/>
                          <w:marRight w:val="0"/>
                          <w:marTop w:val="0"/>
                          <w:marBottom w:val="0"/>
                          <w:divBdr>
                            <w:top w:val="none" w:sz="0" w:space="0" w:color="auto"/>
                            <w:left w:val="none" w:sz="0" w:space="0" w:color="auto"/>
                            <w:bottom w:val="none" w:sz="0" w:space="0" w:color="auto"/>
                            <w:right w:val="none" w:sz="0" w:space="0" w:color="auto"/>
                          </w:divBdr>
                          <w:divsChild>
                            <w:div w:id="1617442593">
                              <w:marLeft w:val="0"/>
                              <w:marRight w:val="0"/>
                              <w:marTop w:val="0"/>
                              <w:marBottom w:val="0"/>
                              <w:divBdr>
                                <w:top w:val="none" w:sz="0" w:space="0" w:color="auto"/>
                                <w:left w:val="none" w:sz="0" w:space="0" w:color="auto"/>
                                <w:bottom w:val="none" w:sz="0" w:space="0" w:color="auto"/>
                                <w:right w:val="none" w:sz="0" w:space="0" w:color="auto"/>
                              </w:divBdr>
                              <w:divsChild>
                                <w:div w:id="172182275">
                                  <w:marLeft w:val="0"/>
                                  <w:marRight w:val="0"/>
                                  <w:marTop w:val="0"/>
                                  <w:marBottom w:val="0"/>
                                  <w:divBdr>
                                    <w:top w:val="none" w:sz="0" w:space="0" w:color="auto"/>
                                    <w:left w:val="none" w:sz="0" w:space="0" w:color="auto"/>
                                    <w:bottom w:val="none" w:sz="0" w:space="0" w:color="auto"/>
                                    <w:right w:val="none" w:sz="0" w:space="0" w:color="auto"/>
                                  </w:divBdr>
                                  <w:divsChild>
                                    <w:div w:id="1754693591">
                                      <w:marLeft w:val="0"/>
                                      <w:marRight w:val="0"/>
                                      <w:marTop w:val="0"/>
                                      <w:marBottom w:val="0"/>
                                      <w:divBdr>
                                        <w:top w:val="none" w:sz="0" w:space="0" w:color="auto"/>
                                        <w:left w:val="none" w:sz="0" w:space="0" w:color="auto"/>
                                        <w:bottom w:val="none" w:sz="0" w:space="0" w:color="auto"/>
                                        <w:right w:val="none" w:sz="0" w:space="0" w:color="auto"/>
                                      </w:divBdr>
                                      <w:divsChild>
                                        <w:div w:id="1938099087">
                                          <w:marLeft w:val="225"/>
                                          <w:marRight w:val="225"/>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952340">
      <w:bodyDiv w:val="1"/>
      <w:marLeft w:val="0"/>
      <w:marRight w:val="0"/>
      <w:marTop w:val="0"/>
      <w:marBottom w:val="0"/>
      <w:divBdr>
        <w:top w:val="none" w:sz="0" w:space="0" w:color="auto"/>
        <w:left w:val="none" w:sz="0" w:space="0" w:color="auto"/>
        <w:bottom w:val="none" w:sz="0" w:space="0" w:color="auto"/>
        <w:right w:val="none" w:sz="0" w:space="0" w:color="auto"/>
      </w:divBdr>
      <w:divsChild>
        <w:div w:id="530725353">
          <w:marLeft w:val="0"/>
          <w:marRight w:val="0"/>
          <w:marTop w:val="0"/>
          <w:marBottom w:val="0"/>
          <w:divBdr>
            <w:top w:val="none" w:sz="0" w:space="0" w:color="auto"/>
            <w:left w:val="none" w:sz="0" w:space="0" w:color="auto"/>
            <w:bottom w:val="none" w:sz="0" w:space="0" w:color="auto"/>
            <w:right w:val="none" w:sz="0" w:space="0" w:color="auto"/>
          </w:divBdr>
          <w:divsChild>
            <w:div w:id="484783455">
              <w:marLeft w:val="0"/>
              <w:marRight w:val="0"/>
              <w:marTop w:val="0"/>
              <w:marBottom w:val="0"/>
              <w:divBdr>
                <w:top w:val="none" w:sz="0" w:space="0" w:color="auto"/>
                <w:left w:val="none" w:sz="0" w:space="0" w:color="auto"/>
                <w:bottom w:val="none" w:sz="0" w:space="0" w:color="auto"/>
                <w:right w:val="none" w:sz="0" w:space="0" w:color="auto"/>
              </w:divBdr>
              <w:divsChild>
                <w:div w:id="1493838091">
                  <w:marLeft w:val="0"/>
                  <w:marRight w:val="0"/>
                  <w:marTop w:val="0"/>
                  <w:marBottom w:val="0"/>
                  <w:divBdr>
                    <w:top w:val="none" w:sz="0" w:space="0" w:color="auto"/>
                    <w:left w:val="none" w:sz="0" w:space="0" w:color="auto"/>
                    <w:bottom w:val="none" w:sz="0" w:space="0" w:color="auto"/>
                    <w:right w:val="none" w:sz="0" w:space="0" w:color="auto"/>
                  </w:divBdr>
                  <w:divsChild>
                    <w:div w:id="1434665944">
                      <w:marLeft w:val="0"/>
                      <w:marRight w:val="0"/>
                      <w:marTop w:val="0"/>
                      <w:marBottom w:val="0"/>
                      <w:divBdr>
                        <w:top w:val="none" w:sz="0" w:space="0" w:color="auto"/>
                        <w:left w:val="none" w:sz="0" w:space="0" w:color="auto"/>
                        <w:bottom w:val="none" w:sz="0" w:space="0" w:color="auto"/>
                        <w:right w:val="none" w:sz="0" w:space="0" w:color="auto"/>
                      </w:divBdr>
                      <w:divsChild>
                        <w:div w:id="1482387653">
                          <w:marLeft w:val="0"/>
                          <w:marRight w:val="0"/>
                          <w:marTop w:val="0"/>
                          <w:marBottom w:val="0"/>
                          <w:divBdr>
                            <w:top w:val="none" w:sz="0" w:space="0" w:color="auto"/>
                            <w:left w:val="none" w:sz="0" w:space="0" w:color="auto"/>
                            <w:bottom w:val="none" w:sz="0" w:space="0" w:color="auto"/>
                            <w:right w:val="none" w:sz="0" w:space="0" w:color="auto"/>
                          </w:divBdr>
                          <w:divsChild>
                            <w:div w:id="2125610050">
                              <w:marLeft w:val="0"/>
                              <w:marRight w:val="0"/>
                              <w:marTop w:val="0"/>
                              <w:marBottom w:val="0"/>
                              <w:divBdr>
                                <w:top w:val="none" w:sz="0" w:space="0" w:color="auto"/>
                                <w:left w:val="none" w:sz="0" w:space="0" w:color="auto"/>
                                <w:bottom w:val="none" w:sz="0" w:space="0" w:color="auto"/>
                                <w:right w:val="none" w:sz="0" w:space="0" w:color="auto"/>
                              </w:divBdr>
                              <w:divsChild>
                                <w:div w:id="355931254">
                                  <w:marLeft w:val="0"/>
                                  <w:marRight w:val="0"/>
                                  <w:marTop w:val="0"/>
                                  <w:marBottom w:val="0"/>
                                  <w:divBdr>
                                    <w:top w:val="none" w:sz="0" w:space="0" w:color="auto"/>
                                    <w:left w:val="none" w:sz="0" w:space="0" w:color="auto"/>
                                    <w:bottom w:val="none" w:sz="0" w:space="0" w:color="auto"/>
                                    <w:right w:val="none" w:sz="0" w:space="0" w:color="auto"/>
                                  </w:divBdr>
                                  <w:divsChild>
                                    <w:div w:id="1120221355">
                                      <w:marLeft w:val="0"/>
                                      <w:marRight w:val="0"/>
                                      <w:marTop w:val="0"/>
                                      <w:marBottom w:val="0"/>
                                      <w:divBdr>
                                        <w:top w:val="none" w:sz="0" w:space="0" w:color="auto"/>
                                        <w:left w:val="none" w:sz="0" w:space="0" w:color="auto"/>
                                        <w:bottom w:val="none" w:sz="0" w:space="0" w:color="auto"/>
                                        <w:right w:val="none" w:sz="0" w:space="0" w:color="auto"/>
                                      </w:divBdr>
                                      <w:divsChild>
                                        <w:div w:id="2095541000">
                                          <w:marLeft w:val="225"/>
                                          <w:marRight w:val="225"/>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700225">
      <w:bodyDiv w:val="1"/>
      <w:marLeft w:val="0"/>
      <w:marRight w:val="0"/>
      <w:marTop w:val="0"/>
      <w:marBottom w:val="0"/>
      <w:divBdr>
        <w:top w:val="none" w:sz="0" w:space="0" w:color="auto"/>
        <w:left w:val="none" w:sz="0" w:space="0" w:color="auto"/>
        <w:bottom w:val="none" w:sz="0" w:space="0" w:color="auto"/>
        <w:right w:val="none" w:sz="0" w:space="0" w:color="auto"/>
      </w:divBdr>
      <w:divsChild>
        <w:div w:id="1283422797">
          <w:marLeft w:val="0"/>
          <w:marRight w:val="0"/>
          <w:marTop w:val="0"/>
          <w:marBottom w:val="0"/>
          <w:divBdr>
            <w:top w:val="none" w:sz="0" w:space="0" w:color="auto"/>
            <w:left w:val="none" w:sz="0" w:space="0" w:color="auto"/>
            <w:bottom w:val="none" w:sz="0" w:space="0" w:color="auto"/>
            <w:right w:val="none" w:sz="0" w:space="0" w:color="auto"/>
          </w:divBdr>
          <w:divsChild>
            <w:div w:id="541525378">
              <w:marLeft w:val="0"/>
              <w:marRight w:val="0"/>
              <w:marTop w:val="0"/>
              <w:marBottom w:val="0"/>
              <w:divBdr>
                <w:top w:val="none" w:sz="0" w:space="0" w:color="auto"/>
                <w:left w:val="none" w:sz="0" w:space="0" w:color="auto"/>
                <w:bottom w:val="none" w:sz="0" w:space="0" w:color="auto"/>
                <w:right w:val="none" w:sz="0" w:space="0" w:color="auto"/>
              </w:divBdr>
              <w:divsChild>
                <w:div w:id="1785422339">
                  <w:marLeft w:val="0"/>
                  <w:marRight w:val="0"/>
                  <w:marTop w:val="0"/>
                  <w:marBottom w:val="0"/>
                  <w:divBdr>
                    <w:top w:val="none" w:sz="0" w:space="0" w:color="auto"/>
                    <w:left w:val="none" w:sz="0" w:space="0" w:color="auto"/>
                    <w:bottom w:val="none" w:sz="0" w:space="0" w:color="auto"/>
                    <w:right w:val="none" w:sz="0" w:space="0" w:color="auto"/>
                  </w:divBdr>
                  <w:divsChild>
                    <w:div w:id="717750942">
                      <w:marLeft w:val="0"/>
                      <w:marRight w:val="0"/>
                      <w:marTop w:val="0"/>
                      <w:marBottom w:val="0"/>
                      <w:divBdr>
                        <w:top w:val="none" w:sz="0" w:space="0" w:color="auto"/>
                        <w:left w:val="none" w:sz="0" w:space="0" w:color="auto"/>
                        <w:bottom w:val="none" w:sz="0" w:space="0" w:color="auto"/>
                        <w:right w:val="none" w:sz="0" w:space="0" w:color="auto"/>
                      </w:divBdr>
                      <w:divsChild>
                        <w:div w:id="5639490">
                          <w:marLeft w:val="0"/>
                          <w:marRight w:val="0"/>
                          <w:marTop w:val="0"/>
                          <w:marBottom w:val="0"/>
                          <w:divBdr>
                            <w:top w:val="none" w:sz="0" w:space="0" w:color="auto"/>
                            <w:left w:val="none" w:sz="0" w:space="0" w:color="auto"/>
                            <w:bottom w:val="none" w:sz="0" w:space="0" w:color="auto"/>
                            <w:right w:val="none" w:sz="0" w:space="0" w:color="auto"/>
                          </w:divBdr>
                          <w:divsChild>
                            <w:div w:id="321353780">
                              <w:marLeft w:val="0"/>
                              <w:marRight w:val="0"/>
                              <w:marTop w:val="0"/>
                              <w:marBottom w:val="0"/>
                              <w:divBdr>
                                <w:top w:val="none" w:sz="0" w:space="0" w:color="auto"/>
                                <w:left w:val="none" w:sz="0" w:space="0" w:color="auto"/>
                                <w:bottom w:val="none" w:sz="0" w:space="0" w:color="auto"/>
                                <w:right w:val="none" w:sz="0" w:space="0" w:color="auto"/>
                              </w:divBdr>
                              <w:divsChild>
                                <w:div w:id="1961182807">
                                  <w:marLeft w:val="0"/>
                                  <w:marRight w:val="0"/>
                                  <w:marTop w:val="0"/>
                                  <w:marBottom w:val="0"/>
                                  <w:divBdr>
                                    <w:top w:val="none" w:sz="0" w:space="0" w:color="auto"/>
                                    <w:left w:val="none" w:sz="0" w:space="0" w:color="auto"/>
                                    <w:bottom w:val="none" w:sz="0" w:space="0" w:color="auto"/>
                                    <w:right w:val="none" w:sz="0" w:space="0" w:color="auto"/>
                                  </w:divBdr>
                                  <w:divsChild>
                                    <w:div w:id="2122415963">
                                      <w:marLeft w:val="0"/>
                                      <w:marRight w:val="0"/>
                                      <w:marTop w:val="0"/>
                                      <w:marBottom w:val="0"/>
                                      <w:divBdr>
                                        <w:top w:val="none" w:sz="0" w:space="0" w:color="auto"/>
                                        <w:left w:val="none" w:sz="0" w:space="0" w:color="auto"/>
                                        <w:bottom w:val="none" w:sz="0" w:space="0" w:color="auto"/>
                                        <w:right w:val="none" w:sz="0" w:space="0" w:color="auto"/>
                                      </w:divBdr>
                                      <w:divsChild>
                                        <w:div w:id="1959682028">
                                          <w:marLeft w:val="225"/>
                                          <w:marRight w:val="225"/>
                                          <w:marTop w:val="0"/>
                                          <w:marBottom w:val="825"/>
                                          <w:divBdr>
                                            <w:top w:val="none" w:sz="0" w:space="0" w:color="auto"/>
                                            <w:left w:val="none" w:sz="0" w:space="0" w:color="auto"/>
                                            <w:bottom w:val="none" w:sz="0" w:space="0" w:color="auto"/>
                                            <w:right w:val="none" w:sz="0" w:space="0" w:color="auto"/>
                                          </w:divBdr>
                                          <w:divsChild>
                                            <w:div w:id="2128693920">
                                              <w:marLeft w:val="-225"/>
                                              <w:marRight w:val="-225"/>
                                              <w:marTop w:val="0"/>
                                              <w:marBottom w:val="0"/>
                                              <w:divBdr>
                                                <w:top w:val="none" w:sz="0" w:space="0" w:color="auto"/>
                                                <w:left w:val="none" w:sz="0" w:space="0" w:color="auto"/>
                                                <w:bottom w:val="none" w:sz="0" w:space="0" w:color="auto"/>
                                                <w:right w:val="none" w:sz="0" w:space="0" w:color="auto"/>
                                              </w:divBdr>
                                              <w:divsChild>
                                                <w:div w:id="292253163">
                                                  <w:marLeft w:val="225"/>
                                                  <w:marRight w:val="225"/>
                                                  <w:marTop w:val="0"/>
                                                  <w:marBottom w:val="300"/>
                                                  <w:divBdr>
                                                    <w:top w:val="none" w:sz="0" w:space="0" w:color="auto"/>
                                                    <w:left w:val="none" w:sz="0" w:space="0" w:color="auto"/>
                                                    <w:bottom w:val="none" w:sz="0" w:space="0" w:color="auto"/>
                                                    <w:right w:val="none" w:sz="0" w:space="0" w:color="auto"/>
                                                  </w:divBdr>
                                                  <w:divsChild>
                                                    <w:div w:id="1836071307">
                                                      <w:marLeft w:val="0"/>
                                                      <w:marRight w:val="0"/>
                                                      <w:marTop w:val="0"/>
                                                      <w:marBottom w:val="0"/>
                                                      <w:divBdr>
                                                        <w:top w:val="none" w:sz="0" w:space="0" w:color="auto"/>
                                                        <w:left w:val="none" w:sz="0" w:space="0" w:color="auto"/>
                                                        <w:bottom w:val="none" w:sz="0" w:space="0" w:color="auto"/>
                                                        <w:right w:val="none" w:sz="0" w:space="0" w:color="auto"/>
                                                      </w:divBdr>
                                                      <w:divsChild>
                                                        <w:div w:id="18789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search.ufl.edu/dsp/proposals/other-sponsored-activities.html" TargetMode="External"/><Relationship Id="rId4" Type="http://schemas.openxmlformats.org/officeDocument/2006/relationships/webSettings" Target="webSettings.xml"/><Relationship Id="rId9" Type="http://schemas.openxmlformats.org/officeDocument/2006/relationships/hyperlink" Target="http://research.ufl.edu/dsp/proposals/budgeting/fa-rates-idc/fa-rate-for-federal-clinical-t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CRUGER,SHELBY H</dc:creator>
  <cp:keywords/>
  <dc:description/>
  <cp:lastModifiedBy>CRUGER,SHELBY H</cp:lastModifiedBy>
  <cp:revision>3</cp:revision>
  <cp:lastPrinted>2019-11-08T15:16:00Z</cp:lastPrinted>
  <dcterms:created xsi:type="dcterms:W3CDTF">2019-11-08T15:16:00Z</dcterms:created>
  <dcterms:modified xsi:type="dcterms:W3CDTF">2020-01-29T14:37:00Z</dcterms:modified>
</cp:coreProperties>
</file>