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B9F6" w14:textId="77777777" w:rsidR="00C17D6B" w:rsidRPr="00047AB1" w:rsidRDefault="00C17D6B" w:rsidP="003F504D">
      <w:pPr>
        <w:tabs>
          <w:tab w:val="left" w:pos="7020"/>
        </w:tabs>
        <w:rPr>
          <w:rStyle w:val="UnitHeading"/>
          <w:sz w:val="18"/>
          <w:szCs w:val="18"/>
        </w:rPr>
      </w:pPr>
      <w:r w:rsidRPr="00047AB1">
        <w:rPr>
          <w:rStyle w:val="UnitHeading"/>
          <w:b/>
          <w:sz w:val="18"/>
          <w:szCs w:val="18"/>
        </w:rPr>
        <w:t>College o</w:t>
      </w:r>
      <w:r w:rsidR="00992ECC" w:rsidRPr="00047AB1">
        <w:rPr>
          <w:rStyle w:val="UnitHeading"/>
          <w:b/>
          <w:sz w:val="18"/>
          <w:szCs w:val="18"/>
        </w:rPr>
        <w:t>f Design, Construction and Planning</w:t>
      </w:r>
      <w:r w:rsidRPr="00047AB1">
        <w:rPr>
          <w:rStyle w:val="UnitHeading"/>
          <w:sz w:val="18"/>
          <w:szCs w:val="18"/>
        </w:rPr>
        <w:tab/>
      </w:r>
      <w:r w:rsidR="00144E2F">
        <w:rPr>
          <w:rStyle w:val="UnitHeading"/>
          <w:sz w:val="18"/>
          <w:szCs w:val="18"/>
        </w:rPr>
        <w:t>3</w:t>
      </w:r>
      <w:r w:rsidR="009F6556">
        <w:rPr>
          <w:rStyle w:val="UnitHeading"/>
          <w:sz w:val="18"/>
          <w:szCs w:val="18"/>
        </w:rPr>
        <w:t>31</w:t>
      </w:r>
      <w:r w:rsidR="00992ECC" w:rsidRPr="00047AB1">
        <w:rPr>
          <w:rStyle w:val="UnitHeading"/>
          <w:sz w:val="18"/>
          <w:szCs w:val="18"/>
        </w:rPr>
        <w:t xml:space="preserve"> Architecture Building</w:t>
      </w:r>
    </w:p>
    <w:p w14:paraId="53880708" w14:textId="77777777" w:rsidR="00C17D6B" w:rsidRPr="00047AB1" w:rsidRDefault="00461538" w:rsidP="003F504D">
      <w:pPr>
        <w:tabs>
          <w:tab w:val="left" w:pos="7020"/>
        </w:tabs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ab/>
        <w:t>PO Box 11570</w:t>
      </w:r>
      <w:r w:rsidR="00144E2F">
        <w:rPr>
          <w:rStyle w:val="UnitHeading"/>
          <w:sz w:val="18"/>
          <w:szCs w:val="18"/>
        </w:rPr>
        <w:t>1</w:t>
      </w:r>
    </w:p>
    <w:p w14:paraId="248290B4" w14:textId="77777777" w:rsidR="00C17D6B" w:rsidRPr="00047AB1" w:rsidRDefault="00C17D6B" w:rsidP="003F504D">
      <w:pPr>
        <w:tabs>
          <w:tab w:val="left" w:pos="7020"/>
        </w:tabs>
        <w:rPr>
          <w:rStyle w:val="UnitHeading"/>
          <w:sz w:val="18"/>
          <w:szCs w:val="18"/>
        </w:rPr>
      </w:pPr>
      <w:r w:rsidRPr="00047AB1">
        <w:rPr>
          <w:rStyle w:val="UnitHeading"/>
          <w:sz w:val="18"/>
          <w:szCs w:val="18"/>
        </w:rPr>
        <w:tab/>
        <w:t>Gainesville, FL 32611-</w:t>
      </w:r>
      <w:r w:rsidR="00461538">
        <w:rPr>
          <w:rStyle w:val="UnitHeading"/>
          <w:sz w:val="18"/>
          <w:szCs w:val="18"/>
        </w:rPr>
        <w:t>570</w:t>
      </w:r>
      <w:r w:rsidR="00144E2F">
        <w:rPr>
          <w:rStyle w:val="UnitHeading"/>
          <w:sz w:val="18"/>
          <w:szCs w:val="18"/>
        </w:rPr>
        <w:t>1</w:t>
      </w:r>
    </w:p>
    <w:p w14:paraId="3FF61837" w14:textId="77777777" w:rsidR="00927A1A" w:rsidRDefault="00927A1A" w:rsidP="00144E2F">
      <w:pPr>
        <w:tabs>
          <w:tab w:val="left" w:pos="7020"/>
        </w:tabs>
        <w:rPr>
          <w:rStyle w:val="UnitHeading"/>
          <w:sz w:val="18"/>
          <w:szCs w:val="18"/>
        </w:rPr>
      </w:pPr>
    </w:p>
    <w:p w14:paraId="5F0BD31D" w14:textId="77777777" w:rsidR="00935C6A" w:rsidRDefault="00935C6A" w:rsidP="00D97F13">
      <w:pPr>
        <w:rPr>
          <w:sz w:val="19"/>
        </w:rPr>
      </w:pPr>
    </w:p>
    <w:p w14:paraId="63AEF745" w14:textId="095B38C0" w:rsidR="00D823B0" w:rsidRPr="00115E04" w:rsidRDefault="00D823B0" w:rsidP="00D823B0">
      <w:pPr>
        <w:jc w:val="center"/>
        <w:rPr>
          <w:rFonts w:ascii="Calibri" w:hAnsi="Calibri" w:cs="Calibri"/>
          <w:b/>
          <w:bCs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INDIRECT COST </w:t>
      </w:r>
      <w:r w:rsidR="00A65CE6">
        <w:rPr>
          <w:rFonts w:ascii="Calibri" w:hAnsi="Calibri" w:cs="Calibri"/>
          <w:b/>
          <w:bCs/>
          <w:sz w:val="22"/>
          <w:szCs w:val="32"/>
        </w:rPr>
        <w:t xml:space="preserve">(IDC) </w:t>
      </w:r>
      <w:r w:rsidRPr="00115E04">
        <w:rPr>
          <w:rFonts w:ascii="Calibri" w:hAnsi="Calibri" w:cs="Calibri"/>
          <w:b/>
          <w:bCs/>
          <w:sz w:val="22"/>
          <w:szCs w:val="32"/>
        </w:rPr>
        <w:t>ALLOCATION AGREEMENT</w:t>
      </w:r>
      <w:r w:rsidR="00D619DA">
        <w:rPr>
          <w:rFonts w:ascii="Calibri" w:hAnsi="Calibri" w:cs="Calibri"/>
          <w:b/>
          <w:bCs/>
          <w:sz w:val="22"/>
          <w:szCs w:val="32"/>
        </w:rPr>
        <w:t xml:space="preserve"> BETWEEN PI AND CO-PI</w:t>
      </w:r>
    </w:p>
    <w:p w14:paraId="4A50F5F2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1EF823A0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sz w:val="22"/>
          <w:szCs w:val="32"/>
        </w:rPr>
        <w:t>Th</w:t>
      </w:r>
      <w:r>
        <w:rPr>
          <w:rFonts w:ascii="Calibri" w:hAnsi="Calibri" w:cs="Calibri"/>
          <w:sz w:val="22"/>
          <w:szCs w:val="32"/>
        </w:rPr>
        <w:t xml:space="preserve">e </w:t>
      </w:r>
      <w:r w:rsidRPr="00115E04">
        <w:rPr>
          <w:rFonts w:ascii="Calibri" w:hAnsi="Calibri" w:cs="Calibri"/>
          <w:sz w:val="22"/>
          <w:szCs w:val="32"/>
        </w:rPr>
        <w:t>Indirect Cost Allocation Agreement ("Agreement") is entered into on this [Date] by and between [PI Name</w:t>
      </w:r>
      <w:r>
        <w:rPr>
          <w:rFonts w:ascii="Calibri" w:hAnsi="Calibri" w:cs="Calibri"/>
          <w:sz w:val="22"/>
          <w:szCs w:val="32"/>
        </w:rPr>
        <w:t>/</w:t>
      </w:r>
      <w:r w:rsidRPr="00115E04">
        <w:rPr>
          <w:rFonts w:ascii="Calibri" w:hAnsi="Calibri" w:cs="Calibri"/>
          <w:sz w:val="22"/>
          <w:szCs w:val="32"/>
        </w:rPr>
        <w:t>Department/College</w:t>
      </w:r>
      <w:r>
        <w:rPr>
          <w:rFonts w:ascii="Calibri" w:hAnsi="Calibri" w:cs="Calibri"/>
          <w:sz w:val="22"/>
          <w:szCs w:val="32"/>
        </w:rPr>
        <w:t xml:space="preserve">], </w:t>
      </w:r>
      <w:r w:rsidRPr="00115E04">
        <w:rPr>
          <w:rFonts w:ascii="Calibri" w:hAnsi="Calibri" w:cs="Calibri"/>
          <w:sz w:val="22"/>
          <w:szCs w:val="32"/>
        </w:rPr>
        <w:t>and [</w:t>
      </w:r>
      <w:r>
        <w:rPr>
          <w:rFonts w:ascii="Calibri" w:hAnsi="Calibri" w:cs="Calibri"/>
          <w:sz w:val="22"/>
          <w:szCs w:val="32"/>
        </w:rPr>
        <w:t>Co-PI</w:t>
      </w:r>
      <w:r w:rsidRPr="00115E04">
        <w:rPr>
          <w:rFonts w:ascii="Calibri" w:hAnsi="Calibri" w:cs="Calibri"/>
          <w:sz w:val="22"/>
          <w:szCs w:val="32"/>
        </w:rPr>
        <w:t xml:space="preserve"> Name/Department</w:t>
      </w:r>
      <w:r>
        <w:rPr>
          <w:rFonts w:ascii="Calibri" w:hAnsi="Calibri" w:cs="Calibri"/>
          <w:sz w:val="22"/>
          <w:szCs w:val="32"/>
        </w:rPr>
        <w:t>/</w:t>
      </w:r>
      <w:r w:rsidRPr="00115E04">
        <w:rPr>
          <w:rFonts w:ascii="Calibri" w:hAnsi="Calibri" w:cs="Calibri"/>
          <w:sz w:val="22"/>
          <w:szCs w:val="32"/>
        </w:rPr>
        <w:t>College],</w:t>
      </w:r>
      <w:r>
        <w:rPr>
          <w:rFonts w:ascii="Calibri" w:hAnsi="Calibri" w:cs="Calibri"/>
          <w:sz w:val="22"/>
          <w:szCs w:val="32"/>
        </w:rPr>
        <w:t xml:space="preserve"> in accordance with the University of Florida’s </w:t>
      </w:r>
      <w:hyperlink r:id="rId7" w:history="1">
        <w:r w:rsidRPr="001D0D01">
          <w:rPr>
            <w:rStyle w:val="Hyperlink"/>
            <w:rFonts w:ascii="Calibri" w:hAnsi="Calibri" w:cs="Calibri"/>
            <w:sz w:val="22"/>
            <w:szCs w:val="32"/>
          </w:rPr>
          <w:t>Facilities &amp; Administrative Cost Policy</w:t>
        </w:r>
      </w:hyperlink>
      <w:r>
        <w:rPr>
          <w:rFonts w:ascii="Calibri" w:hAnsi="Calibri" w:cs="Calibri"/>
          <w:sz w:val="22"/>
          <w:szCs w:val="32"/>
        </w:rPr>
        <w:t xml:space="preserve">. </w:t>
      </w:r>
    </w:p>
    <w:p w14:paraId="307B7B61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0C39124E" w14:textId="77777777" w:rsidR="00D823B0" w:rsidRPr="00115E04" w:rsidRDefault="00D823B0" w:rsidP="00D823B0">
      <w:pPr>
        <w:rPr>
          <w:rFonts w:ascii="Calibri" w:hAnsi="Calibri" w:cs="Calibri"/>
          <w:b/>
          <w:bCs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>BACKGROUND</w:t>
      </w:r>
    </w:p>
    <w:p w14:paraId="047FFA8E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3CBBC040" w14:textId="0B45B7EA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 xml:space="preserve">The purpose of the said agreement is to determine the allocation of indirect costs for the co-Investigator of the research project. </w:t>
      </w:r>
    </w:p>
    <w:p w14:paraId="09CB269A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5194A322" w14:textId="77777777" w:rsidR="00D823B0" w:rsidRPr="00115E04" w:rsidRDefault="00D823B0" w:rsidP="00D823B0">
      <w:pPr>
        <w:rPr>
          <w:rFonts w:ascii="Calibri" w:hAnsi="Calibri" w:cs="Calibri"/>
          <w:b/>
          <w:bCs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>TERMS AND CONDITIONS</w:t>
      </w:r>
    </w:p>
    <w:p w14:paraId="4E432A3D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01B84CAB" w14:textId="086AE822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Purpose: </w:t>
      </w:r>
      <w:r w:rsidRPr="00115E04">
        <w:rPr>
          <w:rFonts w:ascii="Calibri" w:hAnsi="Calibri" w:cs="Calibri"/>
          <w:sz w:val="22"/>
          <w:szCs w:val="32"/>
        </w:rPr>
        <w:t xml:space="preserve">The purpose of this Agreement is to establish a framework for the allocation of Indirect Costs generated from </w:t>
      </w:r>
      <w:r>
        <w:rPr>
          <w:rFonts w:ascii="Calibri" w:hAnsi="Calibri" w:cs="Calibri"/>
          <w:sz w:val="22"/>
          <w:szCs w:val="32"/>
        </w:rPr>
        <w:t>a</w:t>
      </w:r>
      <w:r w:rsidRPr="00115E04">
        <w:rPr>
          <w:rFonts w:ascii="Calibri" w:hAnsi="Calibri" w:cs="Calibri"/>
          <w:sz w:val="22"/>
          <w:szCs w:val="32"/>
        </w:rPr>
        <w:t xml:space="preserve"> research project </w:t>
      </w:r>
      <w:r>
        <w:rPr>
          <w:rFonts w:ascii="Calibri" w:hAnsi="Calibri" w:cs="Calibri"/>
          <w:sz w:val="22"/>
          <w:szCs w:val="32"/>
        </w:rPr>
        <w:t>involving a Principal Investigator (PI) and co-P</w:t>
      </w:r>
      <w:r w:rsidR="00A55A58">
        <w:rPr>
          <w:rFonts w:ascii="Calibri" w:hAnsi="Calibri" w:cs="Calibri"/>
          <w:sz w:val="22"/>
          <w:szCs w:val="32"/>
        </w:rPr>
        <w:t xml:space="preserve">rincipal </w:t>
      </w:r>
      <w:r>
        <w:rPr>
          <w:rFonts w:ascii="Calibri" w:hAnsi="Calibri" w:cs="Calibri"/>
          <w:sz w:val="22"/>
          <w:szCs w:val="32"/>
        </w:rPr>
        <w:t>I</w:t>
      </w:r>
      <w:r w:rsidR="00A55A58">
        <w:rPr>
          <w:rFonts w:ascii="Calibri" w:hAnsi="Calibri" w:cs="Calibri"/>
          <w:sz w:val="22"/>
          <w:szCs w:val="32"/>
        </w:rPr>
        <w:t>nvestigator</w:t>
      </w:r>
      <w:r>
        <w:rPr>
          <w:rFonts w:ascii="Calibri" w:hAnsi="Calibri" w:cs="Calibri"/>
          <w:sz w:val="22"/>
          <w:szCs w:val="32"/>
        </w:rPr>
        <w:t xml:space="preserve"> (co-PI). </w:t>
      </w:r>
    </w:p>
    <w:p w14:paraId="1661DBD2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433AB466" w14:textId="77777777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Principal Investigators (PI): </w:t>
      </w:r>
      <w:r w:rsidRPr="00115E04">
        <w:rPr>
          <w:rFonts w:ascii="Calibri" w:hAnsi="Calibri" w:cs="Calibri"/>
          <w:sz w:val="22"/>
          <w:szCs w:val="32"/>
        </w:rPr>
        <w:t>The P</w:t>
      </w:r>
      <w:r>
        <w:rPr>
          <w:rFonts w:ascii="Calibri" w:hAnsi="Calibri" w:cs="Calibri"/>
          <w:sz w:val="22"/>
          <w:szCs w:val="32"/>
        </w:rPr>
        <w:t>I</w:t>
      </w:r>
      <w:r w:rsidRPr="00115E04">
        <w:rPr>
          <w:rFonts w:ascii="Calibri" w:hAnsi="Calibri" w:cs="Calibri"/>
          <w:sz w:val="22"/>
          <w:szCs w:val="32"/>
        </w:rPr>
        <w:t xml:space="preserve"> associated with the project shall jointly determine</w:t>
      </w:r>
      <w:r>
        <w:rPr>
          <w:rFonts w:ascii="Calibri" w:hAnsi="Calibri" w:cs="Calibri"/>
          <w:sz w:val="22"/>
          <w:szCs w:val="32"/>
        </w:rPr>
        <w:t>,</w:t>
      </w:r>
      <w:r w:rsidRPr="00115E04">
        <w:rPr>
          <w:rFonts w:ascii="Calibri" w:hAnsi="Calibri" w:cs="Calibri"/>
          <w:sz w:val="22"/>
          <w:szCs w:val="32"/>
        </w:rPr>
        <w:t xml:space="preserve"> </w:t>
      </w:r>
      <w:r>
        <w:rPr>
          <w:rFonts w:ascii="Calibri" w:hAnsi="Calibri" w:cs="Calibri"/>
          <w:sz w:val="22"/>
          <w:szCs w:val="32"/>
        </w:rPr>
        <w:t xml:space="preserve">with the co-PI, </w:t>
      </w:r>
      <w:r w:rsidRPr="00115E04">
        <w:rPr>
          <w:rFonts w:ascii="Calibri" w:hAnsi="Calibri" w:cs="Calibri"/>
          <w:sz w:val="22"/>
          <w:szCs w:val="32"/>
        </w:rPr>
        <w:t>the allocation of IDC based on the</w:t>
      </w:r>
      <w:r>
        <w:rPr>
          <w:rFonts w:ascii="Calibri" w:hAnsi="Calibri" w:cs="Calibri"/>
          <w:sz w:val="22"/>
          <w:szCs w:val="32"/>
        </w:rPr>
        <w:t xml:space="preserve"> co-PI’s responsibilities and the </w:t>
      </w:r>
      <w:r w:rsidRPr="00115E04">
        <w:rPr>
          <w:rFonts w:ascii="Calibri" w:hAnsi="Calibri" w:cs="Calibri"/>
          <w:sz w:val="22"/>
          <w:szCs w:val="32"/>
        </w:rPr>
        <w:t xml:space="preserve">scope, budget, and </w:t>
      </w:r>
      <w:r>
        <w:rPr>
          <w:rFonts w:ascii="Calibri" w:hAnsi="Calibri" w:cs="Calibri"/>
          <w:sz w:val="22"/>
          <w:szCs w:val="32"/>
        </w:rPr>
        <w:t>context of the project.</w:t>
      </w:r>
    </w:p>
    <w:p w14:paraId="3E2784DF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0D21345C" w14:textId="0CAD428F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IDC Allocation: </w:t>
      </w:r>
      <w:r w:rsidR="00C95143" w:rsidRPr="00F731BB">
        <w:rPr>
          <w:rFonts w:ascii="Calibri" w:hAnsi="Calibri" w:cs="Calibri"/>
          <w:sz w:val="22"/>
          <w:szCs w:val="32"/>
        </w:rPr>
        <w:t xml:space="preserve">In line with UF policies, </w:t>
      </w:r>
      <w:r w:rsidR="00C95143">
        <w:rPr>
          <w:rFonts w:ascii="Calibri" w:hAnsi="Calibri" w:cs="Calibri"/>
          <w:sz w:val="22"/>
          <w:szCs w:val="32"/>
        </w:rPr>
        <w:t>t</w:t>
      </w:r>
      <w:r w:rsidRPr="00115E04">
        <w:rPr>
          <w:rFonts w:ascii="Calibri" w:hAnsi="Calibri" w:cs="Calibri"/>
          <w:sz w:val="22"/>
          <w:szCs w:val="32"/>
        </w:rPr>
        <w:t xml:space="preserve">he IDC generated by the project </w:t>
      </w:r>
      <w:r>
        <w:rPr>
          <w:rFonts w:ascii="Calibri" w:hAnsi="Calibri" w:cs="Calibri"/>
          <w:sz w:val="22"/>
          <w:szCs w:val="32"/>
        </w:rPr>
        <w:t xml:space="preserve">will be </w:t>
      </w:r>
      <w:r w:rsidRPr="00115E04">
        <w:rPr>
          <w:rFonts w:ascii="Calibri" w:hAnsi="Calibri" w:cs="Calibri"/>
          <w:sz w:val="22"/>
          <w:szCs w:val="32"/>
        </w:rPr>
        <w:t>distributed as follows:</w:t>
      </w:r>
    </w:p>
    <w:p w14:paraId="4DE25CA0" w14:textId="77777777" w:rsidR="00D823B0" w:rsidRPr="00115E04" w:rsidRDefault="00D823B0" w:rsidP="00D823B0">
      <w:pPr>
        <w:ind w:left="-360" w:firstLine="165"/>
        <w:rPr>
          <w:rFonts w:ascii="Calibri" w:hAnsi="Calibri" w:cs="Calibri"/>
          <w:sz w:val="22"/>
          <w:szCs w:val="32"/>
        </w:rPr>
      </w:pPr>
    </w:p>
    <w:p w14:paraId="0008509A" w14:textId="6DDF246A" w:rsidR="00D823B0" w:rsidRPr="00115E04" w:rsidRDefault="00385176" w:rsidP="00D823B0">
      <w:pPr>
        <w:numPr>
          <w:ilvl w:val="1"/>
          <w:numId w:val="2"/>
        </w:numPr>
        <w:ind w:left="1080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The</w:t>
      </w:r>
      <w:r w:rsidR="00D823B0" w:rsidRPr="00115E04">
        <w:rPr>
          <w:rFonts w:ascii="Calibri" w:hAnsi="Calibri" w:cs="Calibri"/>
          <w:sz w:val="22"/>
          <w:szCs w:val="32"/>
        </w:rPr>
        <w:t xml:space="preserve"> PI shall receive 10% of the IDC collected on the projects for allowable expenditures in support of their research infrastructure.</w:t>
      </w:r>
    </w:p>
    <w:p w14:paraId="5A08DBB1" w14:textId="2484E6C1" w:rsidR="00D823B0" w:rsidRPr="00115E04" w:rsidRDefault="00D823B0" w:rsidP="00D823B0">
      <w:pPr>
        <w:numPr>
          <w:ilvl w:val="1"/>
          <w:numId w:val="2"/>
        </w:numPr>
        <w:ind w:left="108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sz w:val="22"/>
          <w:szCs w:val="32"/>
        </w:rPr>
        <w:t xml:space="preserve">An optional 7.5% of returned IDC may be allocated to university-designated Centers and Institutes, as designated by the </w:t>
      </w:r>
      <w:r w:rsidR="00385176">
        <w:rPr>
          <w:rFonts w:ascii="Calibri" w:hAnsi="Calibri" w:cs="Calibri"/>
          <w:sz w:val="22"/>
          <w:szCs w:val="32"/>
        </w:rPr>
        <w:t>PI</w:t>
      </w:r>
      <w:r w:rsidRPr="00115E04">
        <w:rPr>
          <w:rFonts w:ascii="Calibri" w:hAnsi="Calibri" w:cs="Calibri"/>
          <w:sz w:val="22"/>
          <w:szCs w:val="32"/>
        </w:rPr>
        <w:t>.</w:t>
      </w:r>
    </w:p>
    <w:p w14:paraId="20E0F48A" w14:textId="26E109C8" w:rsidR="00D823B0" w:rsidRDefault="00D823B0" w:rsidP="00D823B0">
      <w:pPr>
        <w:numPr>
          <w:ilvl w:val="1"/>
          <w:numId w:val="2"/>
        </w:numPr>
        <w:ind w:left="1080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7.5% of returned</w:t>
      </w:r>
      <w:r w:rsidRPr="00115E04">
        <w:rPr>
          <w:rFonts w:ascii="Calibri" w:hAnsi="Calibri" w:cs="Calibri"/>
          <w:sz w:val="22"/>
          <w:szCs w:val="32"/>
        </w:rPr>
        <w:t xml:space="preserve"> IDC shall be overseen by the </w:t>
      </w:r>
      <w:r>
        <w:rPr>
          <w:rFonts w:ascii="Calibri" w:hAnsi="Calibri" w:cs="Calibri"/>
          <w:sz w:val="22"/>
          <w:szCs w:val="32"/>
        </w:rPr>
        <w:t>Department Chair</w:t>
      </w:r>
      <w:r w:rsidRPr="00115E04">
        <w:rPr>
          <w:rFonts w:ascii="Calibri" w:hAnsi="Calibri" w:cs="Calibri"/>
          <w:sz w:val="22"/>
          <w:szCs w:val="32"/>
        </w:rPr>
        <w:t xml:space="preserve"> and may be used to support </w:t>
      </w:r>
      <w:r>
        <w:rPr>
          <w:rFonts w:ascii="Calibri" w:hAnsi="Calibri" w:cs="Calibri"/>
          <w:sz w:val="22"/>
          <w:szCs w:val="32"/>
        </w:rPr>
        <w:t>department</w:t>
      </w:r>
      <w:r w:rsidRPr="00115E04">
        <w:rPr>
          <w:rFonts w:ascii="Calibri" w:hAnsi="Calibri" w:cs="Calibri"/>
          <w:sz w:val="22"/>
          <w:szCs w:val="32"/>
        </w:rPr>
        <w:t xml:space="preserve"> research activity at their discretion.</w:t>
      </w:r>
      <w:r w:rsidR="00CE3326">
        <w:rPr>
          <w:rFonts w:ascii="Calibri" w:hAnsi="Calibri" w:cs="Calibri"/>
          <w:sz w:val="22"/>
          <w:szCs w:val="32"/>
        </w:rPr>
        <w:t xml:space="preserve"> This </w:t>
      </w:r>
      <w:r w:rsidR="001968CB">
        <w:rPr>
          <w:rFonts w:ascii="Calibri" w:hAnsi="Calibri" w:cs="Calibri"/>
          <w:sz w:val="22"/>
          <w:szCs w:val="32"/>
        </w:rPr>
        <w:t xml:space="preserve">proportion </w:t>
      </w:r>
      <w:r w:rsidR="00CE3326">
        <w:rPr>
          <w:rFonts w:ascii="Calibri" w:hAnsi="Calibri" w:cs="Calibri"/>
          <w:sz w:val="22"/>
          <w:szCs w:val="32"/>
        </w:rPr>
        <w:t>is 15%</w:t>
      </w:r>
      <w:r w:rsidR="00691ACA">
        <w:rPr>
          <w:rFonts w:ascii="Calibri" w:hAnsi="Calibri" w:cs="Calibri"/>
          <w:sz w:val="22"/>
          <w:szCs w:val="32"/>
        </w:rPr>
        <w:t xml:space="preserve"> if no centers/</w:t>
      </w:r>
      <w:r w:rsidR="001968CB">
        <w:rPr>
          <w:rFonts w:ascii="Calibri" w:hAnsi="Calibri" w:cs="Calibri"/>
          <w:sz w:val="22"/>
          <w:szCs w:val="32"/>
        </w:rPr>
        <w:t>institutes</w:t>
      </w:r>
      <w:r w:rsidR="00691ACA">
        <w:rPr>
          <w:rFonts w:ascii="Calibri" w:hAnsi="Calibri" w:cs="Calibri"/>
          <w:sz w:val="22"/>
          <w:szCs w:val="32"/>
        </w:rPr>
        <w:t xml:space="preserve"> have been identified in (b) above.</w:t>
      </w:r>
    </w:p>
    <w:p w14:paraId="71120E13" w14:textId="77777777" w:rsidR="00D823B0" w:rsidRDefault="00D823B0" w:rsidP="00D823B0">
      <w:pPr>
        <w:numPr>
          <w:ilvl w:val="1"/>
          <w:numId w:val="2"/>
        </w:numPr>
        <w:ind w:left="1080"/>
        <w:rPr>
          <w:rFonts w:ascii="Calibri" w:hAnsi="Calibri" w:cs="Calibri"/>
          <w:sz w:val="22"/>
          <w:szCs w:val="32"/>
        </w:rPr>
      </w:pPr>
      <w:r w:rsidRPr="00E810D6">
        <w:rPr>
          <w:rFonts w:ascii="Calibri" w:hAnsi="Calibri" w:cs="Calibri"/>
          <w:sz w:val="22"/>
          <w:szCs w:val="32"/>
        </w:rPr>
        <w:t>The remainder of the F&amp;A costs collected are returned to the associated college or unit after Sponsored Program Assessment is calculated.</w:t>
      </w:r>
    </w:p>
    <w:p w14:paraId="5CB2D4BA" w14:textId="77777777" w:rsidR="00D823B0" w:rsidRPr="00E810D6" w:rsidRDefault="00D823B0" w:rsidP="00D823B0">
      <w:pPr>
        <w:ind w:left="1080"/>
        <w:rPr>
          <w:rFonts w:ascii="Calibri" w:hAnsi="Calibri" w:cs="Calibri"/>
          <w:sz w:val="22"/>
          <w:szCs w:val="32"/>
        </w:rPr>
      </w:pPr>
    </w:p>
    <w:p w14:paraId="5397DE14" w14:textId="1995317D" w:rsidR="00D823B0" w:rsidRPr="00115E04" w:rsidRDefault="00D619DA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b/>
          <w:bCs/>
          <w:sz w:val="22"/>
          <w:szCs w:val="32"/>
        </w:rPr>
        <w:t>PI</w:t>
      </w:r>
      <w:r w:rsidRPr="00115E04">
        <w:rPr>
          <w:rFonts w:ascii="Calibri" w:hAnsi="Calibri" w:cs="Calibri"/>
          <w:b/>
          <w:bCs/>
          <w:sz w:val="22"/>
          <w:szCs w:val="32"/>
        </w:rPr>
        <w:t xml:space="preserve"> </w:t>
      </w:r>
      <w:r w:rsidR="00D823B0" w:rsidRPr="00115E04">
        <w:rPr>
          <w:rFonts w:ascii="Calibri" w:hAnsi="Calibri" w:cs="Calibri"/>
          <w:b/>
          <w:bCs/>
          <w:sz w:val="22"/>
          <w:szCs w:val="32"/>
        </w:rPr>
        <w:t xml:space="preserve">IDC Distribution: </w:t>
      </w:r>
      <w:r w:rsidR="00D823B0" w:rsidRPr="00115E04">
        <w:rPr>
          <w:rFonts w:ascii="Calibri" w:hAnsi="Calibri" w:cs="Calibri"/>
          <w:sz w:val="22"/>
          <w:szCs w:val="32"/>
        </w:rPr>
        <w:t xml:space="preserve">In the event the project is awarded and generates Indirect Costs, the total allocation shall be </w:t>
      </w:r>
      <w:r>
        <w:rPr>
          <w:rFonts w:ascii="Calibri" w:hAnsi="Calibri" w:cs="Calibri"/>
          <w:sz w:val="22"/>
          <w:szCs w:val="32"/>
        </w:rPr>
        <w:t xml:space="preserve">distributed </w:t>
      </w:r>
      <w:r w:rsidR="00D823B0" w:rsidRPr="00115E04">
        <w:rPr>
          <w:rFonts w:ascii="Calibri" w:hAnsi="Calibri" w:cs="Calibri"/>
          <w:sz w:val="22"/>
          <w:szCs w:val="32"/>
        </w:rPr>
        <w:t>as follows:</w:t>
      </w:r>
    </w:p>
    <w:p w14:paraId="042F7E6F" w14:textId="6B9455BF" w:rsidR="00D823B0" w:rsidRPr="00115E04" w:rsidRDefault="00D823B0" w:rsidP="00D823B0">
      <w:pPr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Co-</w:t>
      </w:r>
      <w:r w:rsidRPr="00115E04">
        <w:rPr>
          <w:rFonts w:ascii="Calibri" w:hAnsi="Calibri" w:cs="Calibri"/>
          <w:sz w:val="22"/>
          <w:szCs w:val="32"/>
        </w:rPr>
        <w:t xml:space="preserve">PI: </w:t>
      </w:r>
      <w:r w:rsidR="00D619DA">
        <w:rPr>
          <w:rFonts w:ascii="Calibri" w:hAnsi="Calibri" w:cs="Calibri"/>
          <w:sz w:val="22"/>
          <w:szCs w:val="32"/>
        </w:rPr>
        <w:t>10</w:t>
      </w:r>
      <w:r w:rsidRPr="00115E04">
        <w:rPr>
          <w:rFonts w:ascii="Calibri" w:hAnsi="Calibri" w:cs="Calibri"/>
          <w:sz w:val="22"/>
          <w:szCs w:val="32"/>
        </w:rPr>
        <w:t>% of $</w:t>
      </w:r>
      <w:r>
        <w:rPr>
          <w:rFonts w:ascii="Calibri" w:hAnsi="Calibri" w:cs="Calibri"/>
          <w:sz w:val="22"/>
          <w:szCs w:val="32"/>
        </w:rPr>
        <w:t xml:space="preserve"> ___</w:t>
      </w:r>
      <w:r w:rsidRPr="00115E04">
        <w:rPr>
          <w:rFonts w:ascii="Calibri" w:hAnsi="Calibri" w:cs="Calibri"/>
          <w:sz w:val="22"/>
          <w:szCs w:val="32"/>
        </w:rPr>
        <w:t xml:space="preserve"> of the returned IDC</w:t>
      </w:r>
    </w:p>
    <w:p w14:paraId="2D1221A5" w14:textId="0782072B" w:rsidR="00D823B0" w:rsidRPr="00115E04" w:rsidRDefault="00D823B0" w:rsidP="00D823B0">
      <w:pPr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sz w:val="22"/>
          <w:szCs w:val="32"/>
        </w:rPr>
        <w:t xml:space="preserve">Centers and Institutes: </w:t>
      </w:r>
      <w:r w:rsidR="00D619DA">
        <w:rPr>
          <w:rFonts w:ascii="Calibri" w:hAnsi="Calibri" w:cs="Calibri"/>
          <w:sz w:val="22"/>
          <w:szCs w:val="32"/>
        </w:rPr>
        <w:t>7.5</w:t>
      </w:r>
      <w:r w:rsidR="00D619DA" w:rsidRPr="00115E04">
        <w:rPr>
          <w:rFonts w:ascii="Calibri" w:hAnsi="Calibri" w:cs="Calibri"/>
          <w:sz w:val="22"/>
          <w:szCs w:val="32"/>
        </w:rPr>
        <w:t xml:space="preserve"> </w:t>
      </w:r>
      <w:r w:rsidRPr="00115E04">
        <w:rPr>
          <w:rFonts w:ascii="Calibri" w:hAnsi="Calibri" w:cs="Calibri"/>
          <w:sz w:val="22"/>
          <w:szCs w:val="32"/>
        </w:rPr>
        <w:t>% of $</w:t>
      </w:r>
      <w:r>
        <w:rPr>
          <w:rFonts w:ascii="Calibri" w:hAnsi="Calibri" w:cs="Calibri"/>
          <w:sz w:val="22"/>
          <w:szCs w:val="32"/>
        </w:rPr>
        <w:t>___</w:t>
      </w:r>
      <w:r w:rsidRPr="00115E04">
        <w:rPr>
          <w:rFonts w:ascii="Calibri" w:hAnsi="Calibri" w:cs="Calibri"/>
          <w:sz w:val="22"/>
          <w:szCs w:val="32"/>
        </w:rPr>
        <w:t xml:space="preserve"> of the returned IDC</w:t>
      </w:r>
      <w:r w:rsidR="00A618CB">
        <w:rPr>
          <w:rFonts w:ascii="Calibri" w:hAnsi="Calibri" w:cs="Calibri"/>
          <w:sz w:val="22"/>
          <w:szCs w:val="32"/>
        </w:rPr>
        <w:t xml:space="preserve"> (</w:t>
      </w:r>
      <w:r w:rsidR="00CE3326">
        <w:rPr>
          <w:rFonts w:ascii="Calibri" w:hAnsi="Calibri" w:cs="Calibri"/>
          <w:sz w:val="22"/>
          <w:szCs w:val="32"/>
        </w:rPr>
        <w:t>where designated by PI)</w:t>
      </w:r>
    </w:p>
    <w:p w14:paraId="2BA18F0F" w14:textId="64193406" w:rsidR="00D823B0" w:rsidRPr="00115E04" w:rsidRDefault="00D823B0" w:rsidP="00D823B0">
      <w:pPr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Department</w:t>
      </w:r>
      <w:r w:rsidRPr="00115E04">
        <w:rPr>
          <w:rFonts w:ascii="Calibri" w:hAnsi="Calibri" w:cs="Calibri"/>
          <w:sz w:val="22"/>
          <w:szCs w:val="32"/>
        </w:rPr>
        <w:t xml:space="preserve">: </w:t>
      </w:r>
      <w:r w:rsidR="00D619DA">
        <w:rPr>
          <w:rFonts w:ascii="Calibri" w:hAnsi="Calibri" w:cs="Calibri"/>
          <w:sz w:val="22"/>
          <w:szCs w:val="32"/>
        </w:rPr>
        <w:t>7.5</w:t>
      </w:r>
      <w:r w:rsidR="00D619DA" w:rsidRPr="00115E04">
        <w:rPr>
          <w:rFonts w:ascii="Calibri" w:hAnsi="Calibri" w:cs="Calibri"/>
          <w:sz w:val="22"/>
          <w:szCs w:val="32"/>
        </w:rPr>
        <w:t xml:space="preserve"> </w:t>
      </w:r>
      <w:r w:rsidRPr="00115E04">
        <w:rPr>
          <w:rFonts w:ascii="Calibri" w:hAnsi="Calibri" w:cs="Calibri"/>
          <w:sz w:val="22"/>
          <w:szCs w:val="32"/>
        </w:rPr>
        <w:t xml:space="preserve">% of $ </w:t>
      </w:r>
      <w:r>
        <w:rPr>
          <w:rFonts w:ascii="Calibri" w:hAnsi="Calibri" w:cs="Calibri"/>
          <w:sz w:val="22"/>
          <w:szCs w:val="32"/>
        </w:rPr>
        <w:t>___</w:t>
      </w:r>
      <w:r w:rsidRPr="00115E04">
        <w:rPr>
          <w:rFonts w:ascii="Calibri" w:hAnsi="Calibri" w:cs="Calibri"/>
          <w:sz w:val="22"/>
          <w:szCs w:val="32"/>
        </w:rPr>
        <w:t xml:space="preserve"> of the returned IDC</w:t>
      </w:r>
      <w:r w:rsidR="001968CB">
        <w:rPr>
          <w:rFonts w:ascii="Calibri" w:hAnsi="Calibri" w:cs="Calibri"/>
          <w:sz w:val="22"/>
          <w:szCs w:val="32"/>
        </w:rPr>
        <w:t xml:space="preserve"> (or </w:t>
      </w:r>
      <w:r w:rsidR="00574E28">
        <w:rPr>
          <w:rFonts w:ascii="Calibri" w:hAnsi="Calibri" w:cs="Calibri"/>
          <w:sz w:val="22"/>
          <w:szCs w:val="32"/>
        </w:rPr>
        <w:t>15% if no centers/institutes have been identified)</w:t>
      </w:r>
    </w:p>
    <w:p w14:paraId="6FF9FD4D" w14:textId="77777777" w:rsidR="00D823B0" w:rsidRPr="00115E04" w:rsidRDefault="00D823B0" w:rsidP="00D823B0">
      <w:pPr>
        <w:ind w:left="360"/>
        <w:rPr>
          <w:rFonts w:ascii="Calibri" w:hAnsi="Calibri" w:cs="Calibri"/>
          <w:sz w:val="22"/>
          <w:szCs w:val="32"/>
        </w:rPr>
      </w:pPr>
    </w:p>
    <w:p w14:paraId="64775E6B" w14:textId="6E2F673D" w:rsidR="00D823B0" w:rsidRPr="00813775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>Responsibility for Distribution:</w:t>
      </w:r>
      <w:r w:rsidRPr="00115E04">
        <w:rPr>
          <w:rFonts w:ascii="Calibri" w:hAnsi="Calibri" w:cs="Calibri"/>
          <w:sz w:val="22"/>
          <w:szCs w:val="32"/>
        </w:rPr>
        <w:t xml:space="preserve"> </w:t>
      </w:r>
      <w:r>
        <w:rPr>
          <w:rFonts w:ascii="Calibri" w:hAnsi="Calibri" w:cs="Calibri"/>
          <w:sz w:val="22"/>
          <w:szCs w:val="32"/>
        </w:rPr>
        <w:t>The PI</w:t>
      </w:r>
      <w:r w:rsidRPr="00115E04">
        <w:rPr>
          <w:rFonts w:ascii="Calibri" w:hAnsi="Calibri" w:cs="Calibri"/>
          <w:sz w:val="22"/>
          <w:szCs w:val="32"/>
        </w:rPr>
        <w:t xml:space="preserve"> shall be responsible for ensuring the accurate distribution of the </w:t>
      </w:r>
      <w:r w:rsidR="000B3A00">
        <w:rPr>
          <w:rFonts w:ascii="Calibri" w:hAnsi="Calibri" w:cs="Calibri"/>
          <w:sz w:val="22"/>
          <w:szCs w:val="32"/>
        </w:rPr>
        <w:t xml:space="preserve">PI’s </w:t>
      </w:r>
      <w:r w:rsidR="00A52346">
        <w:rPr>
          <w:rFonts w:ascii="Calibri" w:hAnsi="Calibri" w:cs="Calibri"/>
          <w:sz w:val="22"/>
          <w:szCs w:val="32"/>
        </w:rPr>
        <w:t xml:space="preserve">share of the </w:t>
      </w:r>
      <w:r w:rsidRPr="00115E04">
        <w:rPr>
          <w:rFonts w:ascii="Calibri" w:hAnsi="Calibri" w:cs="Calibri"/>
          <w:sz w:val="22"/>
          <w:szCs w:val="32"/>
        </w:rPr>
        <w:t>returned IDC.</w:t>
      </w:r>
    </w:p>
    <w:p w14:paraId="526E1AFE" w14:textId="77777777" w:rsidR="00D823B0" w:rsidRDefault="00D823B0" w:rsidP="00D823B0">
      <w:pPr>
        <w:ind w:left="360"/>
        <w:rPr>
          <w:rFonts w:ascii="Calibri" w:hAnsi="Calibri" w:cs="Calibri"/>
          <w:sz w:val="22"/>
          <w:szCs w:val="32"/>
        </w:rPr>
      </w:pPr>
    </w:p>
    <w:p w14:paraId="650E603B" w14:textId="35162487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lastRenderedPageBreak/>
        <w:t xml:space="preserve">Review and Approval: </w:t>
      </w:r>
      <w:r w:rsidRPr="00115E04">
        <w:rPr>
          <w:rFonts w:ascii="Calibri" w:hAnsi="Calibri" w:cs="Calibri"/>
          <w:sz w:val="22"/>
          <w:szCs w:val="32"/>
        </w:rPr>
        <w:t>The PI</w:t>
      </w:r>
      <w:r w:rsidR="00D619DA">
        <w:rPr>
          <w:rFonts w:ascii="Calibri" w:hAnsi="Calibri" w:cs="Calibri"/>
          <w:sz w:val="22"/>
          <w:szCs w:val="32"/>
        </w:rPr>
        <w:t xml:space="preserve"> and C</w:t>
      </w:r>
      <w:r w:rsidR="00A52346">
        <w:rPr>
          <w:rFonts w:ascii="Calibri" w:hAnsi="Calibri" w:cs="Calibri"/>
          <w:sz w:val="22"/>
          <w:szCs w:val="32"/>
        </w:rPr>
        <w:t>o</w:t>
      </w:r>
      <w:r w:rsidR="00D619DA">
        <w:rPr>
          <w:rFonts w:ascii="Calibri" w:hAnsi="Calibri" w:cs="Calibri"/>
          <w:sz w:val="22"/>
          <w:szCs w:val="32"/>
        </w:rPr>
        <w:t>-PI</w:t>
      </w:r>
      <w:r w:rsidRPr="00115E04">
        <w:rPr>
          <w:rFonts w:ascii="Calibri" w:hAnsi="Calibri" w:cs="Calibri"/>
          <w:sz w:val="22"/>
          <w:szCs w:val="32"/>
        </w:rPr>
        <w:t xml:space="preserve"> shall </w:t>
      </w:r>
      <w:r>
        <w:rPr>
          <w:rFonts w:ascii="Calibri" w:hAnsi="Calibri" w:cs="Calibri"/>
          <w:sz w:val="22"/>
          <w:szCs w:val="32"/>
        </w:rPr>
        <w:t>decide upon</w:t>
      </w:r>
      <w:r w:rsidRPr="00115E04">
        <w:rPr>
          <w:rFonts w:ascii="Calibri" w:hAnsi="Calibri" w:cs="Calibri"/>
          <w:sz w:val="22"/>
          <w:szCs w:val="32"/>
        </w:rPr>
        <w:t xml:space="preserve"> the final IDC allocation and submit it for </w:t>
      </w:r>
      <w:r>
        <w:rPr>
          <w:rFonts w:ascii="Calibri" w:hAnsi="Calibri" w:cs="Calibri"/>
          <w:sz w:val="22"/>
          <w:szCs w:val="32"/>
        </w:rPr>
        <w:t xml:space="preserve">any necessary </w:t>
      </w:r>
      <w:r w:rsidRPr="00115E04">
        <w:rPr>
          <w:rFonts w:ascii="Calibri" w:hAnsi="Calibri" w:cs="Calibri"/>
          <w:sz w:val="22"/>
          <w:szCs w:val="32"/>
        </w:rPr>
        <w:t>approval</w:t>
      </w:r>
      <w:r>
        <w:rPr>
          <w:rFonts w:ascii="Calibri" w:hAnsi="Calibri" w:cs="Calibri"/>
          <w:sz w:val="22"/>
          <w:szCs w:val="32"/>
        </w:rPr>
        <w:t>s</w:t>
      </w:r>
      <w:r w:rsidRPr="00115E04">
        <w:rPr>
          <w:rFonts w:ascii="Calibri" w:hAnsi="Calibri" w:cs="Calibri"/>
          <w:sz w:val="22"/>
          <w:szCs w:val="32"/>
        </w:rPr>
        <w:t xml:space="preserve"> </w:t>
      </w:r>
      <w:r>
        <w:rPr>
          <w:rFonts w:ascii="Calibri" w:hAnsi="Calibri" w:cs="Calibri"/>
          <w:sz w:val="22"/>
          <w:szCs w:val="32"/>
        </w:rPr>
        <w:t xml:space="preserve">at the college level. </w:t>
      </w:r>
    </w:p>
    <w:p w14:paraId="04B7EB53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1ECB72AC" w14:textId="742BA890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Reporting and Documentation: </w:t>
      </w:r>
      <w:r w:rsidR="00D619DA">
        <w:rPr>
          <w:rFonts w:ascii="Calibri" w:hAnsi="Calibri" w:cs="Calibri"/>
          <w:sz w:val="22"/>
          <w:szCs w:val="32"/>
        </w:rPr>
        <w:t>All</w:t>
      </w:r>
      <w:r w:rsidR="00D619DA" w:rsidRPr="00115E04">
        <w:rPr>
          <w:rFonts w:ascii="Calibri" w:hAnsi="Calibri" w:cs="Calibri"/>
          <w:sz w:val="22"/>
          <w:szCs w:val="32"/>
        </w:rPr>
        <w:t xml:space="preserve"> </w:t>
      </w:r>
      <w:r w:rsidRPr="00115E04">
        <w:rPr>
          <w:rFonts w:ascii="Calibri" w:hAnsi="Calibri" w:cs="Calibri"/>
          <w:sz w:val="22"/>
          <w:szCs w:val="32"/>
        </w:rPr>
        <w:t>parties shall maintain accurate records of the IDC allocation for the project and shall make these records available for audit purposes, as required.</w:t>
      </w:r>
    </w:p>
    <w:p w14:paraId="7DFAE7B4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1D97DF93" w14:textId="526A48A4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Amendments: </w:t>
      </w:r>
      <w:r w:rsidRPr="00115E04">
        <w:rPr>
          <w:rFonts w:ascii="Calibri" w:hAnsi="Calibri" w:cs="Calibri"/>
          <w:sz w:val="22"/>
          <w:szCs w:val="32"/>
        </w:rPr>
        <w:t xml:space="preserve">This Agreement may be amended by written agreement of </w:t>
      </w:r>
      <w:r w:rsidR="00D619DA">
        <w:rPr>
          <w:rFonts w:ascii="Calibri" w:hAnsi="Calibri" w:cs="Calibri"/>
          <w:sz w:val="22"/>
          <w:szCs w:val="32"/>
        </w:rPr>
        <w:t>all</w:t>
      </w:r>
      <w:r w:rsidR="00D619DA" w:rsidRPr="00115E04">
        <w:rPr>
          <w:rFonts w:ascii="Calibri" w:hAnsi="Calibri" w:cs="Calibri"/>
          <w:sz w:val="22"/>
          <w:szCs w:val="32"/>
        </w:rPr>
        <w:t xml:space="preserve"> </w:t>
      </w:r>
      <w:r w:rsidRPr="00115E04">
        <w:rPr>
          <w:rFonts w:ascii="Calibri" w:hAnsi="Calibri" w:cs="Calibri"/>
          <w:sz w:val="22"/>
          <w:szCs w:val="32"/>
        </w:rPr>
        <w:t xml:space="preserve">parties. Any amendments shall be incorporated in writing and signed by </w:t>
      </w:r>
      <w:r w:rsidR="00DD19F2">
        <w:rPr>
          <w:rFonts w:ascii="Calibri" w:hAnsi="Calibri" w:cs="Calibri"/>
          <w:sz w:val="22"/>
          <w:szCs w:val="32"/>
        </w:rPr>
        <w:t>the parties or their designee</w:t>
      </w:r>
      <w:r>
        <w:rPr>
          <w:rFonts w:ascii="Calibri" w:hAnsi="Calibri" w:cs="Calibri"/>
          <w:sz w:val="22"/>
          <w:szCs w:val="32"/>
        </w:rPr>
        <w:t>.</w:t>
      </w:r>
    </w:p>
    <w:p w14:paraId="6668D58E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5ED5898B" w14:textId="77777777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Term and Termination: </w:t>
      </w:r>
      <w:r w:rsidRPr="00115E04">
        <w:rPr>
          <w:rFonts w:ascii="Calibri" w:hAnsi="Calibri" w:cs="Calibri"/>
          <w:sz w:val="22"/>
          <w:szCs w:val="32"/>
        </w:rPr>
        <w:t>This Agreement shall remain in effect for the duration of the project</w:t>
      </w:r>
      <w:r>
        <w:rPr>
          <w:rFonts w:ascii="Calibri" w:hAnsi="Calibri" w:cs="Calibri"/>
          <w:sz w:val="22"/>
          <w:szCs w:val="32"/>
        </w:rPr>
        <w:t xml:space="preserve"> and its Indirect Cost allocation period</w:t>
      </w:r>
      <w:r w:rsidRPr="00115E04">
        <w:rPr>
          <w:rFonts w:ascii="Calibri" w:hAnsi="Calibri" w:cs="Calibri"/>
          <w:sz w:val="22"/>
          <w:szCs w:val="32"/>
        </w:rPr>
        <w:t>. Either party may terminate this Agreement upon written notice in the event of a material breach by the other party.</w:t>
      </w:r>
    </w:p>
    <w:p w14:paraId="410A74FC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4936B912" w14:textId="77777777" w:rsidR="00D823B0" w:rsidRPr="00115E04" w:rsidRDefault="00D823B0" w:rsidP="00D823B0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b/>
          <w:bCs/>
          <w:sz w:val="22"/>
          <w:szCs w:val="32"/>
        </w:rPr>
        <w:t xml:space="preserve">Governing Law: </w:t>
      </w:r>
      <w:r w:rsidRPr="00115E04">
        <w:rPr>
          <w:rFonts w:ascii="Calibri" w:hAnsi="Calibri" w:cs="Calibri"/>
          <w:sz w:val="22"/>
          <w:szCs w:val="32"/>
        </w:rPr>
        <w:t xml:space="preserve">This Agreement shall be </w:t>
      </w:r>
      <w:r>
        <w:rPr>
          <w:rFonts w:ascii="Calibri" w:hAnsi="Calibri" w:cs="Calibri"/>
          <w:sz w:val="22"/>
          <w:szCs w:val="32"/>
        </w:rPr>
        <w:t>compliant</w:t>
      </w:r>
      <w:r w:rsidRPr="00115E04">
        <w:rPr>
          <w:rFonts w:ascii="Calibri" w:hAnsi="Calibri" w:cs="Calibri"/>
          <w:sz w:val="22"/>
          <w:szCs w:val="32"/>
        </w:rPr>
        <w:t xml:space="preserve"> with the laws of the State of Florida</w:t>
      </w:r>
      <w:r>
        <w:rPr>
          <w:rFonts w:ascii="Calibri" w:hAnsi="Calibri" w:cs="Calibri"/>
          <w:sz w:val="22"/>
          <w:szCs w:val="32"/>
        </w:rPr>
        <w:t xml:space="preserve"> and the University. </w:t>
      </w:r>
    </w:p>
    <w:p w14:paraId="5366B2FE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25ED90BE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</w:p>
    <w:p w14:paraId="25D69407" w14:textId="77777777" w:rsidR="00D823B0" w:rsidRPr="00115E04" w:rsidRDefault="00D823B0" w:rsidP="00D823B0">
      <w:pPr>
        <w:rPr>
          <w:rFonts w:ascii="Calibri" w:hAnsi="Calibri" w:cs="Calibri"/>
          <w:sz w:val="22"/>
          <w:szCs w:val="32"/>
        </w:rPr>
      </w:pPr>
      <w:r w:rsidRPr="00115E04">
        <w:rPr>
          <w:rFonts w:ascii="Calibri" w:hAnsi="Calibri" w:cs="Calibri"/>
          <w:sz w:val="22"/>
          <w:szCs w:val="32"/>
        </w:rPr>
        <w:t>This Agreement is executed as of the date first above written.</w:t>
      </w:r>
    </w:p>
    <w:p w14:paraId="33F9A391" w14:textId="77777777" w:rsidR="00D823B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</w:p>
    <w:p w14:paraId="0B04AF0C" w14:textId="77777777" w:rsidR="00D823B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Name [PI]:</w:t>
      </w:r>
      <w:r>
        <w:rPr>
          <w:rFonts w:ascii="Calibri" w:hAnsi="Calibri" w:cs="Calibri"/>
          <w:b/>
          <w:bCs/>
          <w:sz w:val="22"/>
          <w:szCs w:val="32"/>
        </w:rPr>
        <w:t xml:space="preserve"> </w:t>
      </w:r>
    </w:p>
    <w:p w14:paraId="4DBC09C5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 xml:space="preserve">Signature: </w:t>
      </w:r>
    </w:p>
    <w:p w14:paraId="41CF9D10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Title:</w:t>
      </w:r>
      <w:r w:rsidRPr="00D823B0">
        <w:rPr>
          <w:rFonts w:ascii="Calibri" w:hAnsi="Calibri" w:cs="Calibri"/>
          <w:b/>
          <w:bCs/>
          <w:sz w:val="22"/>
          <w:szCs w:val="32"/>
        </w:rPr>
        <w:t xml:space="preserve"> </w:t>
      </w:r>
    </w:p>
    <w:p w14:paraId="54C94820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 xml:space="preserve">Department: </w:t>
      </w:r>
    </w:p>
    <w:p w14:paraId="48E0E13F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Date:</w:t>
      </w:r>
    </w:p>
    <w:p w14:paraId="762DFDC2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</w:p>
    <w:p w14:paraId="5D6CED71" w14:textId="77777777" w:rsidR="00D823B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[Name of Co-PI]</w:t>
      </w:r>
      <w:r>
        <w:rPr>
          <w:rFonts w:ascii="Calibri" w:hAnsi="Calibri" w:cs="Calibri"/>
          <w:b/>
          <w:bCs/>
          <w:sz w:val="22"/>
          <w:szCs w:val="32"/>
        </w:rPr>
        <w:t>:</w:t>
      </w:r>
    </w:p>
    <w:p w14:paraId="36DDEC88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Signature:</w:t>
      </w:r>
    </w:p>
    <w:p w14:paraId="7AC7E722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>Title:</w:t>
      </w:r>
      <w:r w:rsidRPr="00D823B0">
        <w:rPr>
          <w:rFonts w:ascii="Calibri" w:hAnsi="Calibri" w:cs="Calibri"/>
          <w:b/>
          <w:bCs/>
          <w:sz w:val="22"/>
          <w:szCs w:val="32"/>
        </w:rPr>
        <w:t xml:space="preserve"> </w:t>
      </w:r>
    </w:p>
    <w:p w14:paraId="61FAF95D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 xml:space="preserve">Department: </w:t>
      </w:r>
    </w:p>
    <w:p w14:paraId="743D41EB" w14:textId="77777777" w:rsidR="00D823B0" w:rsidRPr="00533EA0" w:rsidRDefault="00D823B0" w:rsidP="00D823B0">
      <w:pPr>
        <w:spacing w:line="360" w:lineRule="auto"/>
        <w:rPr>
          <w:rFonts w:ascii="Calibri" w:hAnsi="Calibri" w:cs="Calibri"/>
          <w:b/>
          <w:bCs/>
          <w:sz w:val="22"/>
          <w:szCs w:val="32"/>
        </w:rPr>
      </w:pPr>
      <w:r w:rsidRPr="00533EA0">
        <w:rPr>
          <w:rFonts w:ascii="Calibri" w:hAnsi="Calibri" w:cs="Calibri"/>
          <w:b/>
          <w:bCs/>
          <w:sz w:val="22"/>
          <w:szCs w:val="32"/>
        </w:rPr>
        <w:t xml:space="preserve">Date: </w:t>
      </w:r>
    </w:p>
    <w:p w14:paraId="6D16CC1B" w14:textId="77777777" w:rsidR="00AF441A" w:rsidRPr="00AF441A" w:rsidRDefault="00AF441A" w:rsidP="00871410">
      <w:pPr>
        <w:pStyle w:val="Footer"/>
        <w:rPr>
          <w:sz w:val="22"/>
          <w:szCs w:val="22"/>
        </w:rPr>
      </w:pPr>
    </w:p>
    <w:sectPr w:rsidR="00AF441A" w:rsidRPr="00AF441A" w:rsidSect="003B2C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00" w:right="907" w:bottom="720" w:left="1728" w:header="1627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62DB" w14:textId="77777777" w:rsidR="00D551E4" w:rsidRDefault="00D551E4">
      <w:r>
        <w:separator/>
      </w:r>
    </w:p>
  </w:endnote>
  <w:endnote w:type="continuationSeparator" w:id="0">
    <w:p w14:paraId="3D603B6F" w14:textId="77777777" w:rsidR="00D551E4" w:rsidRDefault="00D5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303" w14:textId="77777777" w:rsidR="00AF441A" w:rsidRPr="00AF441A" w:rsidRDefault="00AF441A" w:rsidP="00AF441A">
    <w:pPr>
      <w:pStyle w:val="Footer"/>
      <w:jc w:val="center"/>
      <w:rPr>
        <w:sz w:val="20"/>
        <w:szCs w:val="36"/>
      </w:rPr>
    </w:pPr>
    <w:r w:rsidRPr="00AF441A">
      <w:rPr>
        <w:sz w:val="20"/>
        <w:szCs w:val="36"/>
      </w:rPr>
      <w:t xml:space="preserve">Page </w:t>
    </w:r>
    <w:r w:rsidRPr="00AF441A">
      <w:rPr>
        <w:b/>
        <w:bCs/>
        <w:sz w:val="36"/>
        <w:szCs w:val="36"/>
      </w:rPr>
      <w:fldChar w:fldCharType="begin"/>
    </w:r>
    <w:r w:rsidRPr="00AF441A">
      <w:rPr>
        <w:b/>
        <w:bCs/>
        <w:sz w:val="20"/>
        <w:szCs w:val="36"/>
      </w:rPr>
      <w:instrText xml:space="preserve"> PAGE </w:instrText>
    </w:r>
    <w:r w:rsidRPr="00AF441A">
      <w:rPr>
        <w:b/>
        <w:bCs/>
        <w:sz w:val="36"/>
        <w:szCs w:val="36"/>
      </w:rPr>
      <w:fldChar w:fldCharType="separate"/>
    </w:r>
    <w:r>
      <w:rPr>
        <w:b/>
        <w:bCs/>
        <w:sz w:val="36"/>
        <w:szCs w:val="36"/>
      </w:rPr>
      <w:t>1</w:t>
    </w:r>
    <w:r w:rsidRPr="00AF441A">
      <w:rPr>
        <w:b/>
        <w:bCs/>
        <w:sz w:val="36"/>
        <w:szCs w:val="36"/>
      </w:rPr>
      <w:fldChar w:fldCharType="end"/>
    </w:r>
    <w:r w:rsidRPr="00AF441A">
      <w:rPr>
        <w:sz w:val="20"/>
        <w:szCs w:val="36"/>
      </w:rPr>
      <w:t xml:space="preserve"> of </w:t>
    </w:r>
    <w:r w:rsidRPr="00AF441A">
      <w:rPr>
        <w:b/>
        <w:bCs/>
        <w:sz w:val="36"/>
        <w:szCs w:val="36"/>
      </w:rPr>
      <w:fldChar w:fldCharType="begin"/>
    </w:r>
    <w:r w:rsidRPr="00AF441A">
      <w:rPr>
        <w:b/>
        <w:bCs/>
        <w:sz w:val="20"/>
        <w:szCs w:val="36"/>
      </w:rPr>
      <w:instrText xml:space="preserve"> NUMPAGES  </w:instrText>
    </w:r>
    <w:r w:rsidRPr="00AF441A">
      <w:rPr>
        <w:b/>
        <w:bCs/>
        <w:sz w:val="36"/>
        <w:szCs w:val="36"/>
      </w:rPr>
      <w:fldChar w:fldCharType="separate"/>
    </w:r>
    <w:r>
      <w:rPr>
        <w:b/>
        <w:bCs/>
        <w:sz w:val="36"/>
        <w:szCs w:val="36"/>
      </w:rPr>
      <w:t>2</w:t>
    </w:r>
    <w:r w:rsidRPr="00AF441A">
      <w:rPr>
        <w:b/>
        <w:bCs/>
        <w:sz w:val="36"/>
        <w:szCs w:val="36"/>
      </w:rPr>
      <w:fldChar w:fldCharType="end"/>
    </w:r>
  </w:p>
  <w:p w14:paraId="34C48366" w14:textId="77777777" w:rsidR="006D7751" w:rsidRDefault="006D7751" w:rsidP="006D7751">
    <w:pPr>
      <w:pStyle w:val="Footer"/>
      <w:tabs>
        <w:tab w:val="clear" w:pos="4320"/>
        <w:tab w:val="left" w:pos="8640"/>
      </w:tabs>
    </w:pPr>
    <w:r>
      <w:tab/>
    </w:r>
    <w:r w:rsidRPr="006D7751">
      <w:rPr>
        <w:sz w:val="18"/>
        <w:szCs w:val="32"/>
      </w:rPr>
      <w:t>8/7/2023</w:t>
    </w:r>
  </w:p>
  <w:p w14:paraId="71F1BCD0" w14:textId="77777777" w:rsidR="00AF441A" w:rsidRDefault="00AF441A" w:rsidP="00AF441A">
    <w:pPr>
      <w:pStyle w:val="Footer"/>
      <w:tabs>
        <w:tab w:val="clear" w:pos="4320"/>
        <w:tab w:val="clear" w:pos="8640"/>
        <w:tab w:val="left" w:pos="2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6EF1" w14:textId="77777777" w:rsidR="00AF441A" w:rsidRPr="00AF441A" w:rsidRDefault="00AF441A">
    <w:pPr>
      <w:pStyle w:val="Footer"/>
      <w:jc w:val="center"/>
      <w:rPr>
        <w:sz w:val="20"/>
        <w:szCs w:val="36"/>
      </w:rPr>
    </w:pPr>
    <w:r w:rsidRPr="00AF441A">
      <w:rPr>
        <w:sz w:val="20"/>
        <w:szCs w:val="36"/>
      </w:rPr>
      <w:t xml:space="preserve">Page </w:t>
    </w:r>
    <w:r w:rsidRPr="00AF441A">
      <w:rPr>
        <w:b/>
        <w:bCs/>
        <w:sz w:val="36"/>
        <w:szCs w:val="36"/>
      </w:rPr>
      <w:fldChar w:fldCharType="begin"/>
    </w:r>
    <w:r w:rsidRPr="00AF441A">
      <w:rPr>
        <w:b/>
        <w:bCs/>
        <w:sz w:val="20"/>
        <w:szCs w:val="36"/>
      </w:rPr>
      <w:instrText xml:space="preserve"> PAGE </w:instrText>
    </w:r>
    <w:r w:rsidRPr="00AF441A">
      <w:rPr>
        <w:b/>
        <w:bCs/>
        <w:sz w:val="36"/>
        <w:szCs w:val="36"/>
      </w:rPr>
      <w:fldChar w:fldCharType="separate"/>
    </w:r>
    <w:r w:rsidRPr="00AF441A">
      <w:rPr>
        <w:b/>
        <w:bCs/>
        <w:noProof/>
        <w:sz w:val="20"/>
        <w:szCs w:val="36"/>
      </w:rPr>
      <w:t>2</w:t>
    </w:r>
    <w:r w:rsidRPr="00AF441A">
      <w:rPr>
        <w:b/>
        <w:bCs/>
        <w:sz w:val="36"/>
        <w:szCs w:val="36"/>
      </w:rPr>
      <w:fldChar w:fldCharType="end"/>
    </w:r>
    <w:r w:rsidRPr="00AF441A">
      <w:rPr>
        <w:sz w:val="20"/>
        <w:szCs w:val="36"/>
      </w:rPr>
      <w:t xml:space="preserve"> of </w:t>
    </w:r>
    <w:r w:rsidRPr="00AF441A">
      <w:rPr>
        <w:b/>
        <w:bCs/>
        <w:sz w:val="36"/>
        <w:szCs w:val="36"/>
      </w:rPr>
      <w:fldChar w:fldCharType="begin"/>
    </w:r>
    <w:r w:rsidRPr="00AF441A">
      <w:rPr>
        <w:b/>
        <w:bCs/>
        <w:sz w:val="20"/>
        <w:szCs w:val="36"/>
      </w:rPr>
      <w:instrText xml:space="preserve"> NUMPAGES  </w:instrText>
    </w:r>
    <w:r w:rsidRPr="00AF441A">
      <w:rPr>
        <w:b/>
        <w:bCs/>
        <w:sz w:val="36"/>
        <w:szCs w:val="36"/>
      </w:rPr>
      <w:fldChar w:fldCharType="separate"/>
    </w:r>
    <w:r w:rsidRPr="00AF441A">
      <w:rPr>
        <w:b/>
        <w:bCs/>
        <w:noProof/>
        <w:sz w:val="20"/>
        <w:szCs w:val="36"/>
      </w:rPr>
      <w:t>2</w:t>
    </w:r>
    <w:r w:rsidRPr="00AF441A">
      <w:rPr>
        <w:b/>
        <w:bCs/>
        <w:sz w:val="36"/>
        <w:szCs w:val="36"/>
      </w:rPr>
      <w:fldChar w:fldCharType="end"/>
    </w:r>
  </w:p>
  <w:p w14:paraId="682FBB8F" w14:textId="77777777" w:rsidR="002C07CC" w:rsidRDefault="001E44C6" w:rsidP="001E44C6">
    <w:pPr>
      <w:pStyle w:val="Footer"/>
      <w:tabs>
        <w:tab w:val="clear" w:pos="4320"/>
        <w:tab w:val="left" w:pos="8640"/>
      </w:tabs>
    </w:pPr>
    <w:r>
      <w:tab/>
    </w:r>
  </w:p>
  <w:p w14:paraId="0A3B5D02" w14:textId="77777777" w:rsidR="006D7751" w:rsidRDefault="001E44C6" w:rsidP="001E44C6">
    <w:pPr>
      <w:pStyle w:val="Footer"/>
      <w:tabs>
        <w:tab w:val="clear" w:pos="4320"/>
        <w:tab w:val="left" w:pos="8640"/>
      </w:tabs>
    </w:pPr>
    <w:r>
      <w:tab/>
    </w:r>
    <w:r w:rsidR="006D7751" w:rsidRPr="006D7751">
      <w:rPr>
        <w:sz w:val="18"/>
        <w:szCs w:val="32"/>
      </w:rPr>
      <w:t>8/7/2023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3035" w14:textId="77777777" w:rsidR="00D551E4" w:rsidRDefault="00D551E4">
      <w:r>
        <w:separator/>
      </w:r>
    </w:p>
  </w:footnote>
  <w:footnote w:type="continuationSeparator" w:id="0">
    <w:p w14:paraId="646E4B7F" w14:textId="77777777" w:rsidR="00D551E4" w:rsidRDefault="00D5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BC31" w14:textId="42D68E8D" w:rsidR="00AF441A" w:rsidRDefault="00852E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84FF7" wp14:editId="1BE888D8">
          <wp:simplePos x="0" y="0"/>
          <wp:positionH relativeFrom="column">
            <wp:posOffset>-6350</wp:posOffset>
          </wp:positionH>
          <wp:positionV relativeFrom="paragraph">
            <wp:posOffset>-558800</wp:posOffset>
          </wp:positionV>
          <wp:extent cx="2298700" cy="4191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47C" w14:textId="57197FD6" w:rsidR="00905B10" w:rsidRDefault="00852ED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A084BC" wp14:editId="1B7E4B3F">
          <wp:simplePos x="0" y="0"/>
          <wp:positionH relativeFrom="column">
            <wp:posOffset>-6350</wp:posOffset>
          </wp:positionH>
          <wp:positionV relativeFrom="paragraph">
            <wp:posOffset>-587375</wp:posOffset>
          </wp:positionV>
          <wp:extent cx="2298700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018"/>
    <w:multiLevelType w:val="hybridMultilevel"/>
    <w:tmpl w:val="B8EE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2D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803"/>
    <w:multiLevelType w:val="hybridMultilevel"/>
    <w:tmpl w:val="1F52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2E66"/>
    <w:multiLevelType w:val="hybridMultilevel"/>
    <w:tmpl w:val="DA322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D70A7"/>
    <w:multiLevelType w:val="hybridMultilevel"/>
    <w:tmpl w:val="32A69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853687">
    <w:abstractNumId w:val="1"/>
  </w:num>
  <w:num w:numId="2" w16cid:durableId="280234725">
    <w:abstractNumId w:val="0"/>
  </w:num>
  <w:num w:numId="3" w16cid:durableId="685907105">
    <w:abstractNumId w:val="3"/>
  </w:num>
  <w:num w:numId="4" w16cid:durableId="4884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52"/>
    <w:rsid w:val="0000742E"/>
    <w:rsid w:val="00025F7F"/>
    <w:rsid w:val="00030154"/>
    <w:rsid w:val="00030881"/>
    <w:rsid w:val="00037C28"/>
    <w:rsid w:val="00044358"/>
    <w:rsid w:val="00046A6D"/>
    <w:rsid w:val="00047AB1"/>
    <w:rsid w:val="00062062"/>
    <w:rsid w:val="00082C5F"/>
    <w:rsid w:val="00085CDB"/>
    <w:rsid w:val="000955C1"/>
    <w:rsid w:val="000A0820"/>
    <w:rsid w:val="000B3A00"/>
    <w:rsid w:val="000B4ED7"/>
    <w:rsid w:val="000C211C"/>
    <w:rsid w:val="000E7DBC"/>
    <w:rsid w:val="000F5090"/>
    <w:rsid w:val="00113F6C"/>
    <w:rsid w:val="00115E04"/>
    <w:rsid w:val="00120559"/>
    <w:rsid w:val="00121186"/>
    <w:rsid w:val="00126CBC"/>
    <w:rsid w:val="0014008F"/>
    <w:rsid w:val="00142CFC"/>
    <w:rsid w:val="00144E2F"/>
    <w:rsid w:val="00146818"/>
    <w:rsid w:val="00150784"/>
    <w:rsid w:val="001526B9"/>
    <w:rsid w:val="00186436"/>
    <w:rsid w:val="001968CB"/>
    <w:rsid w:val="00196B41"/>
    <w:rsid w:val="001B4D10"/>
    <w:rsid w:val="001B59AA"/>
    <w:rsid w:val="001D0B14"/>
    <w:rsid w:val="001D0D01"/>
    <w:rsid w:val="001E44C6"/>
    <w:rsid w:val="001F3C59"/>
    <w:rsid w:val="001F700B"/>
    <w:rsid w:val="00232678"/>
    <w:rsid w:val="00241AC6"/>
    <w:rsid w:val="002420C3"/>
    <w:rsid w:val="00260E2B"/>
    <w:rsid w:val="00264F0C"/>
    <w:rsid w:val="00267E87"/>
    <w:rsid w:val="0027620C"/>
    <w:rsid w:val="002861FE"/>
    <w:rsid w:val="00290894"/>
    <w:rsid w:val="00291163"/>
    <w:rsid w:val="00295213"/>
    <w:rsid w:val="002959AA"/>
    <w:rsid w:val="002C07CC"/>
    <w:rsid w:val="002C15E7"/>
    <w:rsid w:val="002D5FEC"/>
    <w:rsid w:val="002F729E"/>
    <w:rsid w:val="003673CF"/>
    <w:rsid w:val="00385176"/>
    <w:rsid w:val="003860A0"/>
    <w:rsid w:val="00386B19"/>
    <w:rsid w:val="00387813"/>
    <w:rsid w:val="0039286B"/>
    <w:rsid w:val="003A1C25"/>
    <w:rsid w:val="003B2CE7"/>
    <w:rsid w:val="003D26DF"/>
    <w:rsid w:val="003D3FA8"/>
    <w:rsid w:val="003E7B52"/>
    <w:rsid w:val="003F504D"/>
    <w:rsid w:val="0041571E"/>
    <w:rsid w:val="004437DE"/>
    <w:rsid w:val="00461538"/>
    <w:rsid w:val="00465FA5"/>
    <w:rsid w:val="00486113"/>
    <w:rsid w:val="00496C69"/>
    <w:rsid w:val="004A1337"/>
    <w:rsid w:val="004B3581"/>
    <w:rsid w:val="005140D6"/>
    <w:rsid w:val="00515C23"/>
    <w:rsid w:val="0053022D"/>
    <w:rsid w:val="00564B64"/>
    <w:rsid w:val="00574E28"/>
    <w:rsid w:val="00576D68"/>
    <w:rsid w:val="005906A0"/>
    <w:rsid w:val="005912F0"/>
    <w:rsid w:val="005B01E8"/>
    <w:rsid w:val="005B7899"/>
    <w:rsid w:val="005C50E6"/>
    <w:rsid w:val="0060014D"/>
    <w:rsid w:val="0060280E"/>
    <w:rsid w:val="006152B0"/>
    <w:rsid w:val="00615B6D"/>
    <w:rsid w:val="006336B7"/>
    <w:rsid w:val="00642055"/>
    <w:rsid w:val="00642C0A"/>
    <w:rsid w:val="00646A94"/>
    <w:rsid w:val="00666A1E"/>
    <w:rsid w:val="006832B4"/>
    <w:rsid w:val="00687DFD"/>
    <w:rsid w:val="00691ACA"/>
    <w:rsid w:val="006A2DBA"/>
    <w:rsid w:val="006B0BE1"/>
    <w:rsid w:val="006C0D4B"/>
    <w:rsid w:val="006C0EB1"/>
    <w:rsid w:val="006C7B29"/>
    <w:rsid w:val="006D7751"/>
    <w:rsid w:val="006E00D9"/>
    <w:rsid w:val="006E061F"/>
    <w:rsid w:val="006E09DC"/>
    <w:rsid w:val="006E3842"/>
    <w:rsid w:val="006E7989"/>
    <w:rsid w:val="006E79C4"/>
    <w:rsid w:val="00701871"/>
    <w:rsid w:val="00724813"/>
    <w:rsid w:val="007520D8"/>
    <w:rsid w:val="00761C34"/>
    <w:rsid w:val="0076236F"/>
    <w:rsid w:val="007A7C1A"/>
    <w:rsid w:val="007B1934"/>
    <w:rsid w:val="007B1F1D"/>
    <w:rsid w:val="007B3408"/>
    <w:rsid w:val="007D5240"/>
    <w:rsid w:val="007E6E86"/>
    <w:rsid w:val="0080086D"/>
    <w:rsid w:val="008114C0"/>
    <w:rsid w:val="00813775"/>
    <w:rsid w:val="00830698"/>
    <w:rsid w:val="008422A1"/>
    <w:rsid w:val="00852ED9"/>
    <w:rsid w:val="00867F79"/>
    <w:rsid w:val="00871410"/>
    <w:rsid w:val="00880903"/>
    <w:rsid w:val="00881B7C"/>
    <w:rsid w:val="008948CF"/>
    <w:rsid w:val="008B0153"/>
    <w:rsid w:val="008B1534"/>
    <w:rsid w:val="008B7E6D"/>
    <w:rsid w:val="008C38C9"/>
    <w:rsid w:val="008D5820"/>
    <w:rsid w:val="008E5531"/>
    <w:rsid w:val="008E6850"/>
    <w:rsid w:val="008F7840"/>
    <w:rsid w:val="009055D1"/>
    <w:rsid w:val="00905B10"/>
    <w:rsid w:val="00907E77"/>
    <w:rsid w:val="009157FF"/>
    <w:rsid w:val="009174CB"/>
    <w:rsid w:val="009273A6"/>
    <w:rsid w:val="00927A1A"/>
    <w:rsid w:val="00935C6A"/>
    <w:rsid w:val="009376AE"/>
    <w:rsid w:val="00947428"/>
    <w:rsid w:val="00952F1B"/>
    <w:rsid w:val="009609B8"/>
    <w:rsid w:val="00984781"/>
    <w:rsid w:val="00992ECC"/>
    <w:rsid w:val="00996517"/>
    <w:rsid w:val="009B41CB"/>
    <w:rsid w:val="009E7110"/>
    <w:rsid w:val="009F6556"/>
    <w:rsid w:val="00A06160"/>
    <w:rsid w:val="00A11DF1"/>
    <w:rsid w:val="00A35195"/>
    <w:rsid w:val="00A52346"/>
    <w:rsid w:val="00A551CB"/>
    <w:rsid w:val="00A55A58"/>
    <w:rsid w:val="00A618CB"/>
    <w:rsid w:val="00A65CE6"/>
    <w:rsid w:val="00A71A06"/>
    <w:rsid w:val="00A71C0A"/>
    <w:rsid w:val="00A73A2A"/>
    <w:rsid w:val="00A8691C"/>
    <w:rsid w:val="00A86C01"/>
    <w:rsid w:val="00AA518E"/>
    <w:rsid w:val="00AB657C"/>
    <w:rsid w:val="00AC0E9D"/>
    <w:rsid w:val="00AC6E64"/>
    <w:rsid w:val="00AE0E59"/>
    <w:rsid w:val="00AE447C"/>
    <w:rsid w:val="00AF441A"/>
    <w:rsid w:val="00AF7AFB"/>
    <w:rsid w:val="00B00DA0"/>
    <w:rsid w:val="00B047E2"/>
    <w:rsid w:val="00B07333"/>
    <w:rsid w:val="00B13A64"/>
    <w:rsid w:val="00B5070E"/>
    <w:rsid w:val="00B70850"/>
    <w:rsid w:val="00B71047"/>
    <w:rsid w:val="00B73AE1"/>
    <w:rsid w:val="00B835CF"/>
    <w:rsid w:val="00BC1DDB"/>
    <w:rsid w:val="00BE5BC8"/>
    <w:rsid w:val="00BF17FA"/>
    <w:rsid w:val="00C02A6E"/>
    <w:rsid w:val="00C064CC"/>
    <w:rsid w:val="00C17D6B"/>
    <w:rsid w:val="00C3060C"/>
    <w:rsid w:val="00C4036A"/>
    <w:rsid w:val="00C513DC"/>
    <w:rsid w:val="00C70EE6"/>
    <w:rsid w:val="00C80585"/>
    <w:rsid w:val="00C917A3"/>
    <w:rsid w:val="00C95143"/>
    <w:rsid w:val="00CB4EC3"/>
    <w:rsid w:val="00CB5968"/>
    <w:rsid w:val="00CC2184"/>
    <w:rsid w:val="00CC2FC4"/>
    <w:rsid w:val="00CC3FE4"/>
    <w:rsid w:val="00CC6583"/>
    <w:rsid w:val="00CE3326"/>
    <w:rsid w:val="00D02481"/>
    <w:rsid w:val="00D16512"/>
    <w:rsid w:val="00D240BF"/>
    <w:rsid w:val="00D50AC4"/>
    <w:rsid w:val="00D551E4"/>
    <w:rsid w:val="00D619DA"/>
    <w:rsid w:val="00D718D6"/>
    <w:rsid w:val="00D823B0"/>
    <w:rsid w:val="00D92040"/>
    <w:rsid w:val="00D92542"/>
    <w:rsid w:val="00D97F13"/>
    <w:rsid w:val="00DB06F5"/>
    <w:rsid w:val="00DC68F0"/>
    <w:rsid w:val="00DD19F2"/>
    <w:rsid w:val="00DD4CB6"/>
    <w:rsid w:val="00DE398B"/>
    <w:rsid w:val="00DE729C"/>
    <w:rsid w:val="00E307B1"/>
    <w:rsid w:val="00E32D10"/>
    <w:rsid w:val="00E504DA"/>
    <w:rsid w:val="00E60E2E"/>
    <w:rsid w:val="00E64646"/>
    <w:rsid w:val="00E76B7A"/>
    <w:rsid w:val="00E810D6"/>
    <w:rsid w:val="00E87580"/>
    <w:rsid w:val="00E90A18"/>
    <w:rsid w:val="00E97552"/>
    <w:rsid w:val="00EC142F"/>
    <w:rsid w:val="00EE6232"/>
    <w:rsid w:val="00F20EC4"/>
    <w:rsid w:val="00F21797"/>
    <w:rsid w:val="00F306DF"/>
    <w:rsid w:val="00F412BE"/>
    <w:rsid w:val="00F53271"/>
    <w:rsid w:val="00F64DE5"/>
    <w:rsid w:val="00F731BB"/>
    <w:rsid w:val="00F844BA"/>
    <w:rsid w:val="00FD2505"/>
    <w:rsid w:val="00FE5E2C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A7EC8"/>
  <w15:chartTrackingRefBased/>
  <w15:docId w15:val="{9ED1AC17-CCC6-4D11-BA42-9039DCA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047A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3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40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F441A"/>
    <w:rPr>
      <w:rFonts w:ascii="Palatino Linotype" w:hAnsi="Palatino Linotype"/>
      <w:color w:val="0021A5"/>
      <w:sz w:val="14"/>
      <w:szCs w:val="24"/>
    </w:rPr>
  </w:style>
  <w:style w:type="character" w:styleId="UnresolvedMention">
    <w:name w:val="Unresolved Mention"/>
    <w:uiPriority w:val="99"/>
    <w:semiHidden/>
    <w:unhideWhenUsed/>
    <w:rsid w:val="001D0D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9DA"/>
    <w:rPr>
      <w:rFonts w:ascii="Palatino Linotype" w:hAnsi="Palatino Linotype"/>
      <w:szCs w:val="24"/>
    </w:rPr>
  </w:style>
  <w:style w:type="character" w:styleId="CommentReference">
    <w:name w:val="annotation reference"/>
    <w:basedOn w:val="DefaultParagraphFont"/>
    <w:rsid w:val="00907E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E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07E7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907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E77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eralcounsel.ufl.edu/media/ufledu/content-assets/generalcounselufledu/documents/fa_cost_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3430</CharactersWithSpaces>
  <SharedDoc>false</SharedDoc>
  <HLinks>
    <vt:vector size="6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https://generalcounsel.ufl.edu/media/ufledu/content-assets/generalcounselufledu/documents/fa_cost_policy.pdf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elittles</dc:creator>
  <cp:keywords/>
  <cp:lastModifiedBy>Silva,Keila M</cp:lastModifiedBy>
  <cp:revision>2</cp:revision>
  <cp:lastPrinted>2023-08-07T15:21:00Z</cp:lastPrinted>
  <dcterms:created xsi:type="dcterms:W3CDTF">2023-09-05T18:34:00Z</dcterms:created>
  <dcterms:modified xsi:type="dcterms:W3CDTF">2023-09-05T18:34:00Z</dcterms:modified>
</cp:coreProperties>
</file>